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Estudo de Viabilidade Urbanística - EVU</w:t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Estudo de Viabilidade Urbanística deverá ser realizado conforme regramento do PDUA (Plano Diretor de Desenvolvimento Urbano e Ambiental), Lei 5.341/08, 5961/2015 e 6569/2022.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ROTEIRO DE EVU</w:t>
      </w:r>
    </w:p>
    <w:p>
      <w:pPr>
        <w:pStyle w:val="ListParagraph"/>
        <w:numPr>
          <w:ilvl w:val="0"/>
          <w:numId w:val="0"/>
        </w:numPr>
        <w:bidi w:val="0"/>
        <w:ind w:left="444" w:right="0" w:hanging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bidi w:val="0"/>
        <w:ind w:left="444" w:right="0" w:hanging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CAPA;</w:t>
      </w:r>
    </w:p>
    <w:p>
      <w:pPr>
        <w:pStyle w:val="ListParagraph"/>
        <w:numPr>
          <w:ilvl w:val="1"/>
          <w:numId w:val="1"/>
        </w:numPr>
        <w:bidi w:val="0"/>
        <w:ind w:left="1179" w:right="0" w:hanging="35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Título;</w:t>
      </w:r>
    </w:p>
    <w:p>
      <w:pPr>
        <w:pStyle w:val="ListParagraph"/>
        <w:numPr>
          <w:ilvl w:val="1"/>
          <w:numId w:val="1"/>
        </w:numPr>
        <w:bidi w:val="0"/>
        <w:ind w:left="1179" w:right="0" w:hanging="35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Nome do Empreendimento;</w:t>
      </w:r>
    </w:p>
    <w:p>
      <w:pPr>
        <w:pStyle w:val="ListParagraph"/>
        <w:numPr>
          <w:ilvl w:val="1"/>
          <w:numId w:val="1"/>
        </w:numPr>
        <w:bidi w:val="0"/>
        <w:ind w:left="1179" w:right="0" w:hanging="35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Empresa ou Técnico responsável pela elaboração do EVU;</w:t>
      </w:r>
    </w:p>
    <w:p>
      <w:pPr>
        <w:pStyle w:val="ListParagraph"/>
        <w:numPr>
          <w:ilvl w:val="1"/>
          <w:numId w:val="1"/>
        </w:numPr>
        <w:bidi w:val="0"/>
        <w:ind w:left="1179" w:right="0" w:hanging="35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Empreendedor;</w:t>
      </w:r>
    </w:p>
    <w:p>
      <w:pPr>
        <w:pStyle w:val="ListParagraph"/>
        <w:numPr>
          <w:ilvl w:val="1"/>
          <w:numId w:val="1"/>
        </w:numPr>
        <w:bidi w:val="0"/>
        <w:ind w:left="1179" w:right="0" w:hanging="35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Data.</w:t>
      </w:r>
    </w:p>
    <w:p>
      <w:pPr>
        <w:pStyle w:val="Ttulo1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IDENTIFICAÇÃO DO EMPREENDIMENTO</w:t>
      </w:r>
    </w:p>
    <w:p>
      <w:pPr>
        <w:pStyle w:val="ListParagraph"/>
        <w:numPr>
          <w:ilvl w:val="1"/>
          <w:numId w:val="1"/>
        </w:numPr>
        <w:bidi w:val="0"/>
        <w:ind w:left="1179" w:right="0" w:hanging="35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Nome do Empreendimento;</w:t>
      </w:r>
    </w:p>
    <w:p>
      <w:pPr>
        <w:pStyle w:val="ListParagraph"/>
        <w:numPr>
          <w:ilvl w:val="1"/>
          <w:numId w:val="1"/>
        </w:numPr>
        <w:bidi w:val="0"/>
        <w:ind w:left="1179" w:right="0" w:hanging="35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Localização [Endereço, quadra e lote(s)].</w:t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tulo1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IDENTIFICAÇÃO DO AUTOR DO EVU E DO EMPREENDEDOR</w:t>
      </w:r>
    </w:p>
    <w:p>
      <w:pPr>
        <w:pStyle w:val="ListParagraph"/>
        <w:numPr>
          <w:ilvl w:val="1"/>
          <w:numId w:val="1"/>
        </w:numPr>
        <w:bidi w:val="0"/>
        <w:ind w:left="1179" w:right="0" w:hanging="35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Autor do EVU;</w:t>
      </w:r>
    </w:p>
    <w:p>
      <w:pPr>
        <w:pStyle w:val="ListParagraph"/>
        <w:numPr>
          <w:ilvl w:val="1"/>
          <w:numId w:val="1"/>
        </w:numPr>
        <w:bidi w:val="0"/>
        <w:ind w:left="1179" w:right="0" w:hanging="35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Nome da Empresa de Consultoria;</w:t>
      </w:r>
    </w:p>
    <w:p>
      <w:pPr>
        <w:pStyle w:val="ListParagraph"/>
        <w:numPr>
          <w:ilvl w:val="1"/>
          <w:numId w:val="1"/>
        </w:numPr>
        <w:bidi w:val="0"/>
        <w:ind w:left="1179" w:right="0" w:hanging="35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Nome do Responsável Técnico – RT;</w:t>
      </w:r>
    </w:p>
    <w:p>
      <w:pPr>
        <w:pStyle w:val="ListParagraph"/>
        <w:numPr>
          <w:ilvl w:val="1"/>
          <w:numId w:val="1"/>
        </w:numPr>
        <w:bidi w:val="0"/>
        <w:ind w:left="1179" w:right="0" w:hanging="35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Formação e Número do Registro Profissional;</w:t>
      </w:r>
    </w:p>
    <w:p>
      <w:pPr>
        <w:pStyle w:val="ListParagraph"/>
        <w:numPr>
          <w:ilvl w:val="1"/>
          <w:numId w:val="1"/>
        </w:numPr>
        <w:bidi w:val="0"/>
        <w:ind w:left="1179" w:right="0" w:hanging="35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Endereço (Completo com CEP);</w:t>
      </w:r>
    </w:p>
    <w:p>
      <w:pPr>
        <w:pStyle w:val="ListParagraph"/>
        <w:numPr>
          <w:ilvl w:val="1"/>
          <w:numId w:val="1"/>
        </w:numPr>
        <w:bidi w:val="0"/>
        <w:ind w:left="1179" w:right="0" w:hanging="35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Telefones;</w:t>
      </w:r>
    </w:p>
    <w:p>
      <w:pPr>
        <w:pStyle w:val="ListParagraph"/>
        <w:numPr>
          <w:ilvl w:val="1"/>
          <w:numId w:val="1"/>
        </w:numPr>
        <w:bidi w:val="0"/>
        <w:ind w:left="1179" w:right="0" w:hanging="35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E-mail.</w:t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tulo1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EMPREENDEDOR</w:t>
      </w:r>
    </w:p>
    <w:p>
      <w:pPr>
        <w:pStyle w:val="ListParagraph"/>
        <w:numPr>
          <w:ilvl w:val="1"/>
          <w:numId w:val="1"/>
        </w:numPr>
        <w:bidi w:val="0"/>
        <w:ind w:left="1179" w:right="0" w:hanging="35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Nome da Empresa;</w:t>
      </w:r>
    </w:p>
    <w:p>
      <w:pPr>
        <w:pStyle w:val="ListParagraph"/>
        <w:numPr>
          <w:ilvl w:val="1"/>
          <w:numId w:val="1"/>
        </w:numPr>
        <w:bidi w:val="0"/>
        <w:ind w:left="1179" w:right="0" w:hanging="35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CNPJ;</w:t>
      </w:r>
    </w:p>
    <w:p>
      <w:pPr>
        <w:pStyle w:val="ListParagraph"/>
        <w:numPr>
          <w:ilvl w:val="1"/>
          <w:numId w:val="1"/>
        </w:numPr>
        <w:bidi w:val="0"/>
        <w:ind w:left="1179" w:right="0" w:hanging="35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Nome do Responsável legal pelo Empreendimento;</w:t>
      </w:r>
    </w:p>
    <w:p>
      <w:pPr>
        <w:pStyle w:val="ListParagraph"/>
        <w:numPr>
          <w:ilvl w:val="1"/>
          <w:numId w:val="1"/>
        </w:numPr>
        <w:bidi w:val="0"/>
        <w:ind w:left="1179" w:right="0" w:hanging="35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Endereço (Completo com CEP);</w:t>
      </w:r>
    </w:p>
    <w:p>
      <w:pPr>
        <w:pStyle w:val="ListParagraph"/>
        <w:numPr>
          <w:ilvl w:val="1"/>
          <w:numId w:val="1"/>
        </w:numPr>
        <w:bidi w:val="0"/>
        <w:ind w:left="1179" w:right="0" w:hanging="35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Telefones;</w:t>
      </w:r>
    </w:p>
    <w:p>
      <w:pPr>
        <w:pStyle w:val="ListParagraph"/>
        <w:numPr>
          <w:ilvl w:val="1"/>
          <w:numId w:val="1"/>
        </w:numPr>
        <w:bidi w:val="0"/>
        <w:ind w:left="1179" w:right="0" w:hanging="35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E-mail;</w:t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tulo1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CARACTERIZAÇÃO DO EMPREENDIMENTO</w:t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bidi w:val="0"/>
        <w:ind w:left="1179" w:right="0" w:hanging="35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Apresentação;</w:t>
      </w:r>
    </w:p>
    <w:p>
      <w:pPr>
        <w:pStyle w:val="ListParagraph"/>
        <w:numPr>
          <w:ilvl w:val="2"/>
          <w:numId w:val="1"/>
        </w:numPr>
        <w:bidi w:val="0"/>
        <w:ind w:left="1304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Objeto do estudo: </w:t>
      </w:r>
      <w:r>
        <w:rPr>
          <w:sz w:val="24"/>
          <w:szCs w:val="24"/>
        </w:rPr>
        <w:t>informar se o objeto é a construção, ampliação, instalação ou funcionamento do empreendimento e se haverá modificação de uso, além de um breve histórico do empreendimento (para empreendimentos já instalados ou em funcionamento);</w:t>
      </w:r>
    </w:p>
    <w:p>
      <w:pPr>
        <w:pStyle w:val="ListParagraph"/>
        <w:numPr>
          <w:ilvl w:val="2"/>
          <w:numId w:val="1"/>
        </w:numPr>
        <w:bidi w:val="0"/>
        <w:ind w:left="1304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Situação/ Localização:</w:t>
      </w:r>
      <w:r>
        <w:rPr>
          <w:sz w:val="24"/>
          <w:szCs w:val="24"/>
        </w:rPr>
        <w:t xml:space="preserve"> Mapa de situação em escala adequada para visualização da área que abrange as principais vias de acesso ao empreendimento. A demarcação de bens naturais/culturais, mobiliário urbano, indicação da hidrografia da área em estudo e o cadastro da rede pública pluvial, redes de alta tensão, gasodutos/oleodutos e outros elementos significativos que compõem o espaço urbano num raio de 100m (sugere-se 1:1.000 à 1:5.000). Foto Aérea e Levantamento Fotográfico do terreno e do entorno;</w:t>
      </w:r>
    </w:p>
    <w:p>
      <w:pPr>
        <w:pStyle w:val="ListParagraph"/>
        <w:numPr>
          <w:ilvl w:val="2"/>
          <w:numId w:val="1"/>
        </w:numPr>
        <w:bidi w:val="0"/>
        <w:ind w:left="1304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Para Desmembramento e Loteamento:</w:t>
      </w:r>
      <w:r>
        <w:rPr>
          <w:sz w:val="24"/>
          <w:szCs w:val="24"/>
        </w:rPr>
        <w:t xml:space="preserve"> Levantamento topográfico planialtimétrico e cadastral contendo: cópia das plantas devidamente assinadas pelo responsável técnico pelo serviço; Escala mínima de 1:250; Cópia da ART do responsável técnico pelo levantamento.</w:t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3"/>
        </w:numPr>
        <w:bidi w:val="0"/>
        <w:ind w:left="1342" w:right="0" w:hanging="4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Descrição das Atividades e Áreas/Informações Operacionais ou Funcionais</w:t>
      </w:r>
    </w:p>
    <w:p>
      <w:pPr>
        <w:pStyle w:val="ListParagraph"/>
        <w:numPr>
          <w:ilvl w:val="2"/>
          <w:numId w:val="3"/>
        </w:numPr>
        <w:bidi w:val="0"/>
        <w:ind w:left="1882" w:right="0" w:hanging="60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Área do Terreno;</w:t>
      </w:r>
    </w:p>
    <w:p>
      <w:pPr>
        <w:pStyle w:val="ListParagraph"/>
        <w:numPr>
          <w:ilvl w:val="2"/>
          <w:numId w:val="3"/>
        </w:numPr>
        <w:bidi w:val="0"/>
        <w:ind w:left="1882" w:right="0" w:hanging="60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Área Construída</w:t>
      </w:r>
    </w:p>
    <w:p>
      <w:pPr>
        <w:pStyle w:val="ListParagraph"/>
        <w:numPr>
          <w:ilvl w:val="2"/>
          <w:numId w:val="3"/>
        </w:numPr>
        <w:bidi w:val="0"/>
        <w:ind w:left="1882" w:right="0" w:hanging="60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Área Computável (ACP) conforme Anexo 5.2 do PDUA;</w:t>
      </w:r>
    </w:p>
    <w:p>
      <w:pPr>
        <w:pStyle w:val="ListParagraph"/>
        <w:numPr>
          <w:ilvl w:val="2"/>
          <w:numId w:val="3"/>
        </w:numPr>
        <w:bidi w:val="0"/>
        <w:ind w:left="1882" w:right="0" w:hanging="60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Área Bruta Locável (shoppings e lojas);</w:t>
      </w:r>
    </w:p>
    <w:p>
      <w:pPr>
        <w:pStyle w:val="ListParagraph"/>
        <w:numPr>
          <w:ilvl w:val="2"/>
          <w:numId w:val="3"/>
        </w:numPr>
        <w:bidi w:val="0"/>
        <w:ind w:left="1882" w:right="0" w:hanging="60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Área de vendas (supermercado e hipermercados);</w:t>
      </w:r>
    </w:p>
    <w:p>
      <w:pPr>
        <w:pStyle w:val="ListParagraph"/>
        <w:numPr>
          <w:ilvl w:val="2"/>
          <w:numId w:val="3"/>
        </w:numPr>
        <w:bidi w:val="0"/>
        <w:ind w:left="1882" w:right="0" w:hanging="60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Número de Lotes com quadro de áreas (loteamentos e condomínios);</w:t>
      </w:r>
    </w:p>
    <w:p>
      <w:pPr>
        <w:pStyle w:val="ListParagraph"/>
        <w:numPr>
          <w:ilvl w:val="2"/>
          <w:numId w:val="3"/>
        </w:numPr>
        <w:bidi w:val="0"/>
        <w:ind w:left="1882" w:right="0" w:hanging="60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Número de unidades residenciais (condomínios);</w:t>
      </w:r>
    </w:p>
    <w:p>
      <w:pPr>
        <w:pStyle w:val="ListParagraph"/>
        <w:numPr>
          <w:ilvl w:val="2"/>
          <w:numId w:val="3"/>
        </w:numPr>
        <w:bidi w:val="0"/>
        <w:ind w:left="1882" w:right="0" w:hanging="60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Capacidade de assentos ou n° de lugares (cinema e auditórios);</w:t>
      </w:r>
    </w:p>
    <w:p>
      <w:pPr>
        <w:pStyle w:val="ListParagraph"/>
        <w:numPr>
          <w:ilvl w:val="2"/>
          <w:numId w:val="3"/>
        </w:numPr>
        <w:bidi w:val="0"/>
        <w:ind w:left="1882" w:right="0" w:hanging="60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Número de apartamentos (hotéis, apart hotéis, motéis e similares);</w:t>
      </w:r>
    </w:p>
    <w:p>
      <w:pPr>
        <w:pStyle w:val="ListParagraph"/>
        <w:numPr>
          <w:ilvl w:val="2"/>
          <w:numId w:val="3"/>
        </w:numPr>
        <w:bidi w:val="0"/>
        <w:ind w:left="1882" w:right="0" w:hanging="60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Número de leitos (hospitais, maternidade e clínicas);</w:t>
      </w:r>
    </w:p>
    <w:p>
      <w:pPr>
        <w:pStyle w:val="ListParagraph"/>
        <w:numPr>
          <w:ilvl w:val="2"/>
          <w:numId w:val="3"/>
        </w:numPr>
        <w:bidi w:val="0"/>
        <w:ind w:left="1882" w:right="0" w:hanging="60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Informação sobre horário de funcionamento do empreendimento durante a semana, no fim de semana e sobre a existência de turnos de trabalho;</w:t>
      </w:r>
    </w:p>
    <w:p>
      <w:pPr>
        <w:pStyle w:val="ListParagraph"/>
        <w:numPr>
          <w:ilvl w:val="2"/>
          <w:numId w:val="3"/>
        </w:numPr>
        <w:bidi w:val="0"/>
        <w:ind w:left="1882" w:right="0" w:hanging="60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No caso de desmembramento com edificação, a partir de 1 hectare deve ser apresentado um memorial com a caracterização das edificações existentes do empreendimento;</w:t>
      </w:r>
    </w:p>
    <w:p>
      <w:pPr>
        <w:pStyle w:val="ListParagraph"/>
        <w:numPr>
          <w:ilvl w:val="2"/>
          <w:numId w:val="3"/>
        </w:numPr>
        <w:bidi w:val="0"/>
        <w:ind w:left="1882" w:right="0" w:hanging="60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Levantamento fotográfico do empreendimento.</w:t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tulo1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PLANTA DO EVU</w:t>
      </w:r>
    </w:p>
    <w:p>
      <w:pPr>
        <w:pStyle w:val="ListParagraph"/>
        <w:numPr>
          <w:ilvl w:val="1"/>
          <w:numId w:val="4"/>
        </w:numPr>
        <w:bidi w:val="0"/>
        <w:ind w:left="1702" w:right="0" w:hanging="4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Situação/Localização;</w:t>
      </w:r>
    </w:p>
    <w:p>
      <w:pPr>
        <w:pStyle w:val="ListParagraph"/>
        <w:numPr>
          <w:ilvl w:val="1"/>
          <w:numId w:val="4"/>
        </w:numPr>
        <w:bidi w:val="0"/>
        <w:ind w:left="1702" w:right="0" w:hanging="4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Implantação em escala que permita visualizar as interferências existentes no terreno (árvores, jardineiras, postes, sinalização, mobiliário urbano, rebaixo para acesso de veículo, etc.) e projetadas.</w:t>
      </w:r>
    </w:p>
    <w:p>
      <w:pPr>
        <w:pStyle w:val="ListParagraph"/>
        <w:numPr>
          <w:ilvl w:val="1"/>
          <w:numId w:val="4"/>
        </w:numPr>
        <w:bidi w:val="0"/>
        <w:ind w:left="1702" w:right="0" w:hanging="420"/>
        <w:jc w:val="both"/>
        <w:rPr/>
      </w:pPr>
      <w:r>
        <w:rPr>
          <w:sz w:val="24"/>
          <w:szCs w:val="24"/>
        </w:rPr>
        <w:t xml:space="preserve">Marcar em planta as vagas de estacionamento </w:t>
      </w:r>
      <w:r>
        <w:rPr>
          <w:sz w:val="24"/>
          <w:szCs w:val="24"/>
        </w:rPr>
        <w:t>e paraciclo</w:t>
      </w:r>
      <w:r>
        <w:rPr>
          <w:sz w:val="24"/>
          <w:szCs w:val="24"/>
        </w:rPr>
        <w:t>, conforme PDUA e Código de Obras.</w:t>
      </w:r>
    </w:p>
    <w:p>
      <w:pPr>
        <w:pStyle w:val="ListParagraph"/>
        <w:numPr>
          <w:ilvl w:val="1"/>
          <w:numId w:val="4"/>
        </w:numPr>
        <w:bidi w:val="0"/>
        <w:ind w:left="1702" w:right="0" w:hanging="420"/>
        <w:jc w:val="both"/>
        <w:rPr/>
      </w:pPr>
      <w:r>
        <w:rPr>
          <w:sz w:val="24"/>
          <w:szCs w:val="24"/>
        </w:rPr>
        <w:t xml:space="preserve">Marcar em planta as vagas de </w:t>
      </w:r>
      <w:r>
        <w:rPr>
          <w:sz w:val="24"/>
          <w:szCs w:val="24"/>
        </w:rPr>
        <w:t>carga/descarga, alça de acesso de embarque/desembarque, quando necessário</w:t>
      </w:r>
      <w:r>
        <w:rPr>
          <w:sz w:val="24"/>
          <w:szCs w:val="24"/>
        </w:rPr>
        <w:t xml:space="preserve">, conforme </w:t>
      </w:r>
      <w:r>
        <w:rPr>
          <w:sz w:val="24"/>
          <w:szCs w:val="24"/>
        </w:rPr>
        <w:t>Anexo 5.2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Inciso VII do PDUA.</w:t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tulo1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DOCUMENTOS OBRIGATÓRIOS (cópias)</w:t>
      </w:r>
    </w:p>
    <w:p>
      <w:pPr>
        <w:pStyle w:val="ListParagraph"/>
        <w:numPr>
          <w:ilvl w:val="1"/>
          <w:numId w:val="2"/>
        </w:numPr>
        <w:bidi w:val="0"/>
        <w:ind w:left="1337" w:right="0" w:hanging="41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Análise de Viabilidade da Atividade (RSP);</w:t>
      </w:r>
    </w:p>
    <w:p>
      <w:pPr>
        <w:pStyle w:val="ListParagraph"/>
        <w:numPr>
          <w:ilvl w:val="1"/>
          <w:numId w:val="2"/>
        </w:numPr>
        <w:bidi w:val="0"/>
        <w:ind w:left="1337" w:right="0" w:hanging="41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Cartão de CNPJ;</w:t>
      </w:r>
    </w:p>
    <w:p>
      <w:pPr>
        <w:pStyle w:val="ListParagraph"/>
        <w:numPr>
          <w:ilvl w:val="1"/>
          <w:numId w:val="2"/>
        </w:numPr>
        <w:bidi w:val="0"/>
        <w:ind w:left="1337" w:right="0" w:hanging="41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Identificação do Imóvel – BCI (SMF);</w:t>
      </w:r>
    </w:p>
    <w:p>
      <w:pPr>
        <w:pStyle w:val="ListParagraph"/>
        <w:numPr>
          <w:ilvl w:val="1"/>
          <w:numId w:val="2"/>
        </w:numPr>
        <w:bidi w:val="0"/>
        <w:ind w:left="1337" w:right="0" w:hanging="41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Matrícula do Imóvel Atualizada (R.I.);</w:t>
      </w:r>
    </w:p>
    <w:p>
      <w:pPr>
        <w:pStyle w:val="ListParagraph"/>
        <w:numPr>
          <w:ilvl w:val="1"/>
          <w:numId w:val="2"/>
        </w:numPr>
        <w:bidi w:val="0"/>
        <w:ind w:left="1337" w:right="0" w:hanging="41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Diretrizes do DEP (SMO), quando tratar-se de parcelamento do solo;</w:t>
      </w:r>
    </w:p>
    <w:p>
      <w:pPr>
        <w:pStyle w:val="ListParagraph"/>
        <w:numPr>
          <w:ilvl w:val="1"/>
          <w:numId w:val="2"/>
        </w:numPr>
        <w:bidi w:val="0"/>
        <w:ind w:left="1337" w:right="0" w:hanging="41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Memorial Descritivo de Atividades;</w:t>
      </w:r>
    </w:p>
    <w:p>
      <w:pPr>
        <w:pStyle w:val="ListParagraph"/>
        <w:numPr>
          <w:ilvl w:val="1"/>
          <w:numId w:val="2"/>
        </w:numPr>
        <w:bidi w:val="0"/>
        <w:ind w:left="1337" w:right="0" w:hanging="41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RRT de EVU;</w:t>
      </w:r>
    </w:p>
    <w:p>
      <w:pPr>
        <w:pStyle w:val="ListParagraph"/>
        <w:numPr>
          <w:ilvl w:val="1"/>
          <w:numId w:val="2"/>
        </w:numPr>
        <w:bidi w:val="0"/>
        <w:ind w:left="1337" w:right="0" w:hanging="41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Certidão de Zoneamento;</w:t>
      </w:r>
    </w:p>
    <w:p>
      <w:pPr>
        <w:pStyle w:val="ListParagraph"/>
        <w:numPr>
          <w:ilvl w:val="1"/>
          <w:numId w:val="2"/>
        </w:numPr>
        <w:bidi w:val="0"/>
        <w:ind w:left="1337" w:right="0" w:hanging="41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Contrato social ou estatuto no caso do imóvel pertencer à pessoa jurídica;</w:t>
      </w:r>
    </w:p>
    <w:p>
      <w:pPr>
        <w:pStyle w:val="ListParagraph"/>
        <w:numPr>
          <w:ilvl w:val="1"/>
          <w:numId w:val="2"/>
        </w:numPr>
        <w:bidi w:val="0"/>
        <w:ind w:left="1337" w:right="0" w:hanging="41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Para instalação de antenas apresentar laudo técnico assinado por físico ou engenheiro da área de radiação, acompanhado de responsabilidade técnica – RT (Atender Lei Municipal – 4671/2002);</w:t>
      </w:r>
    </w:p>
    <w:p>
      <w:pPr>
        <w:pStyle w:val="ListParagraph"/>
        <w:numPr>
          <w:ilvl w:val="1"/>
          <w:numId w:val="2"/>
        </w:numPr>
        <w:bidi w:val="0"/>
        <w:ind w:left="1337" w:right="0" w:hanging="416"/>
        <w:jc w:val="both"/>
        <w:rPr/>
      </w:pPr>
      <w:r>
        <w:rPr>
          <w:sz w:val="24"/>
          <w:szCs w:val="24"/>
        </w:rPr>
        <w:t>Licença obrigatória do COMAER (Comando Aéreo Nacional) para instalação de antenas – Atender Lei Federal 13.116/2015, (</w:t>
      </w:r>
      <w:hyperlink r:id="rId2">
        <w:r>
          <w:rPr>
            <w:sz w:val="24"/>
            <w:szCs w:val="24"/>
          </w:rPr>
          <w:t>www.decea.gov.br/aga);</w:t>
        </w:r>
      </w:hyperlink>
    </w:p>
    <w:p>
      <w:pPr>
        <w:pStyle w:val="ListParagraph"/>
        <w:numPr>
          <w:ilvl w:val="1"/>
          <w:numId w:val="2"/>
        </w:numPr>
        <w:bidi w:val="0"/>
        <w:ind w:left="1337" w:right="0" w:hanging="41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Autorização do Corpo de Bombeiros (Licença) para instalação de antenas.</w:t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tulo1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 CASO DE EVU DE LOTEAMENTO, CONDOMÍNIOS URBANÍSTICOS, CONDOMÍNIOS DE UNIDADES AUTÔNOMAS MAIOR QUE UM QUARTEIRÃO ESTRUTURADOR, DEVERÃO SER APRESENTADOS A PLANTA GERAL DO EMPREENDIMENTO COM:</w:t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5"/>
        </w:numPr>
        <w:bidi w:val="0"/>
        <w:ind w:left="922" w:right="0" w:hanging="43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 traçado do arruamento, designado por números, com indicação dos gabaritos e quarteirões designado por letras, com indicação de suas dimensões e áreas;</w:t>
      </w:r>
    </w:p>
    <w:p>
      <w:pPr>
        <w:pStyle w:val="ListParagraph"/>
        <w:numPr>
          <w:ilvl w:val="1"/>
          <w:numId w:val="5"/>
        </w:numPr>
        <w:bidi w:val="0"/>
        <w:ind w:left="922" w:right="0" w:hanging="43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Lotes numerados, cotados e com indicação de áreas;</w:t>
      </w:r>
    </w:p>
    <w:p>
      <w:pPr>
        <w:pStyle w:val="ListParagraph"/>
        <w:numPr>
          <w:ilvl w:val="1"/>
          <w:numId w:val="5"/>
        </w:numPr>
        <w:bidi w:val="0"/>
        <w:ind w:left="922" w:right="0" w:hanging="43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Identificação das áreas destinadas a equipamentos públicos e comunitários e à preservação permanente;</w:t>
      </w:r>
    </w:p>
    <w:p>
      <w:pPr>
        <w:pStyle w:val="ListParagraph"/>
        <w:numPr>
          <w:ilvl w:val="1"/>
          <w:numId w:val="5"/>
        </w:numPr>
        <w:bidi w:val="0"/>
        <w:ind w:left="922" w:right="0" w:hanging="43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Localização das vias públicas limítrofes com denominação oficial;</w:t>
      </w:r>
    </w:p>
    <w:p>
      <w:pPr>
        <w:pStyle w:val="ListParagraph"/>
        <w:numPr>
          <w:ilvl w:val="1"/>
          <w:numId w:val="5"/>
        </w:numPr>
        <w:bidi w:val="0"/>
        <w:ind w:left="922" w:right="0" w:hanging="43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Planilha de ruas, quarteirões e lotes contendo resumo das dimensões e áreas com os respectivos percentuais;</w:t>
      </w:r>
    </w:p>
    <w:p>
      <w:pPr>
        <w:pStyle w:val="ListParagraph"/>
        <w:numPr>
          <w:ilvl w:val="1"/>
          <w:numId w:val="5"/>
        </w:numPr>
        <w:bidi w:val="0"/>
        <w:ind w:left="922" w:right="0" w:hanging="43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Perfis transversais com gabarito das vias de comunicação;</w:t>
      </w:r>
    </w:p>
    <w:p>
      <w:pPr>
        <w:pStyle w:val="ListParagraph"/>
        <w:numPr>
          <w:ilvl w:val="1"/>
          <w:numId w:val="5"/>
        </w:numPr>
        <w:bidi w:val="0"/>
        <w:ind w:left="922" w:right="0" w:hanging="43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Quadro de áreas (contendo a área total do loteamento, o cálculo das áreas e respectivos percentuais de destinação de uso público, de equipamentos urbanos e comunitários e de uso privado);</w:t>
      </w:r>
    </w:p>
    <w:p>
      <w:pPr>
        <w:pStyle w:val="ListParagraph"/>
        <w:numPr>
          <w:ilvl w:val="1"/>
          <w:numId w:val="5"/>
        </w:numPr>
        <w:bidi w:val="0"/>
        <w:ind w:left="922" w:right="0" w:hanging="43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Dimensões gerais da área a ser parcelada e indicação dos confrontantes;</w:t>
      </w:r>
    </w:p>
    <w:p>
      <w:pPr>
        <w:pStyle w:val="ListParagraph"/>
        <w:numPr>
          <w:ilvl w:val="1"/>
          <w:numId w:val="5"/>
        </w:numPr>
        <w:bidi w:val="0"/>
        <w:ind w:left="922" w:right="0" w:hanging="43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Meio digital georreferenciado conforme referência geodésica do município;</w:t>
      </w:r>
    </w:p>
    <w:p>
      <w:pPr>
        <w:pStyle w:val="ListParagraph"/>
        <w:numPr>
          <w:ilvl w:val="1"/>
          <w:numId w:val="5"/>
        </w:numPr>
        <w:bidi w:val="0"/>
        <w:ind w:left="51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Orientação Magnética ou geográfica;</w:t>
      </w:r>
    </w:p>
    <w:p>
      <w:pPr>
        <w:pStyle w:val="ListParagraph"/>
        <w:numPr>
          <w:ilvl w:val="1"/>
          <w:numId w:val="5"/>
        </w:numPr>
        <w:bidi w:val="0"/>
        <w:ind w:left="922" w:right="0" w:hanging="43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Além da documentação mencionada, o município, por meio de seus órgãos técnicos, exigirá quando necessário, a anuência do órgão metropolitano e/ou anuência da Petrobrás.</w:t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tulo1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CONCLUSÕES</w:t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Parecer final do empreendedor;</w:t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tulo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OBSERVAÇÕES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bidi w:val="0"/>
        <w:ind w:left="204" w:right="0" w:hanging="18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Em qualquer momento, quando se faça necessário, a CCU pedirá documentação complementar;</w:t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bidi w:val="0"/>
        <w:ind w:left="204" w:right="0" w:hanging="18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Art. 196 Lei PDUA: “§ 2º A análise do EVU será realizada pela Comissão de Controle Urbanístico, que poderá determinar apresentação de estudos complementares como estudo de tráfego, acessibilidade e de estacionamentos.”;</w:t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bidi w:val="0"/>
        <w:ind w:left="204" w:right="0" w:hanging="18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 processo deverá ser protocolado com os documentos em PDF através do e-mail smduh.canoas@canoas.rs.gov.br;</w:t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CCU, Comissão de Controle Urbanístico, é a responsável em unificar as informações das diversas secretarias e, também pela deliberação final para a aprovação dos empreendimentos passíveis de EVU e EIV. Contato com a CCU pode ser feito pelo telefone 3425-7630 Ramal 5727.</w:t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tulo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Estudo de Viabilidade Urbanística – EVU – (Artigo 10) – Anexo 4.3</w:t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Empreendimentos</w:t>
      </w:r>
    </w:p>
    <w:p>
      <w:pPr>
        <w:pStyle w:val="Corpodotexto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Empreendimentos residenciais com mais de 250 (duzentos e cinquenta) e menos de 500 (quinhentos) UH(unidade habitacionais);</w:t>
      </w:r>
    </w:p>
    <w:p>
      <w:pPr>
        <w:pStyle w:val="Corpodotexto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Empreendimentos e ou edificações não residenciais com área computável entre 10.000 m² (dez mil metros quadrados) e 20.000 m² (vinte mil metros quadrados) ou com estacionamentos maiores que 200 (duzentos) veículos;</w:t>
      </w:r>
    </w:p>
    <w:p>
      <w:pPr>
        <w:pStyle w:val="Corpodotexto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Empreendimentos em zona de proteção do ambiente natural;</w:t>
      </w:r>
    </w:p>
    <w:p>
      <w:pPr>
        <w:pStyle w:val="Corpodotexto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Edificação e parcelamento do solo em Zona Especial de Interesse Cultural (Área de Ambiência Cultural) quando de intervenções com regime urbanístico superior ao estabelecido no Anexo 8;</w:t>
      </w:r>
    </w:p>
    <w:p>
      <w:pPr>
        <w:pStyle w:val="Corpodotexto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Intervenções em áreas ou prédios de Zona Especial de Interesse Cultural (Área de Preservação Cultural);</w:t>
      </w:r>
    </w:p>
    <w:p>
      <w:pPr>
        <w:pStyle w:val="Corpodotexto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Desmembramentos acima do quarteirão estruturador;</w:t>
      </w:r>
    </w:p>
    <w:p>
      <w:pPr>
        <w:pStyle w:val="Corpodotexto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Loteamentos até 50 ha (cinquenta hectares).</w:t>
      </w:r>
    </w:p>
    <w:p>
      <w:pPr>
        <w:pStyle w:val="Ttulo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Atividades</w:t>
      </w:r>
    </w:p>
    <w:p>
      <w:pPr>
        <w:pStyle w:val="Ttulo1"/>
        <w:spacing w:lineRule="auto" w:line="240" w:before="0" w:after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tulo1"/>
        <w:spacing w:lineRule="auto" w:line="240" w:before="0" w:after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Atividade com drive thru; </w:t>
      </w:r>
    </w:p>
    <w:p>
      <w:pPr>
        <w:pStyle w:val="Ttulo1"/>
        <w:spacing w:lineRule="auto" w:line="240" w:before="0" w:after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Centro cultural de eventos ou locais para esporte com área computável entre 3.000 m² (três mil metros quadrados) e 5.000 m² (cinco mil metros quadrados); </w:t>
      </w:r>
    </w:p>
    <w:p>
      <w:pPr>
        <w:pStyle w:val="Ttulo1"/>
        <w:spacing w:lineRule="auto" w:line="240" w:before="0" w:after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Clubes, associações e similares com área computável entre 300 m² (trezentos metros quadrados) e 2.000 m² (dois mil metros quadrados); </w:t>
      </w:r>
    </w:p>
    <w:p>
      <w:pPr>
        <w:pStyle w:val="Ttulo1"/>
        <w:spacing w:lineRule="auto" w:line="240" w:before="0" w:after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Supermercados com área computável entre 3.000 m² (três mil metros quadrados) e 20.000 m² (vinte mil metros quadrados); </w:t>
      </w:r>
    </w:p>
    <w:p>
      <w:pPr>
        <w:pStyle w:val="Ttulo1"/>
        <w:spacing w:lineRule="auto" w:line="240" w:before="0" w:after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Centros comerciais e shopping center com área computável ente 2.000 m² (dois mil metros quadrados) e 20.000 m² (vinte mil metros quadrados); </w:t>
      </w:r>
    </w:p>
    <w:p>
      <w:pPr>
        <w:pStyle w:val="Ttulo1"/>
        <w:spacing w:lineRule="auto" w:line="240" w:before="0" w:after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Comércio atacadista com área computável entre 3.000 m² (três mil metros quadrados) e 20.000 m² (vinte mil metros quadrados); </w:t>
      </w:r>
    </w:p>
    <w:p>
      <w:pPr>
        <w:pStyle w:val="Ttulo1"/>
        <w:spacing w:lineRule="auto" w:line="240" w:before="0" w:after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Central de abastecimento ou depósito com área computável entre 5.000 m² (cinco mil metros quadrados) e 20.000 m² (vinte mil metros quadrados);</w:t>
      </w:r>
    </w:p>
    <w:p>
      <w:pPr>
        <w:pStyle w:val="Ttulo1"/>
        <w:spacing w:lineRule="auto" w:line="240" w:before="0" w:after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Entretenimento noturno com área computável de até 1.000 m² (mil metros quadrados); </w:t>
      </w:r>
    </w:p>
    <w:p>
      <w:pPr>
        <w:pStyle w:val="Ttulo1"/>
        <w:spacing w:lineRule="auto" w:line="240" w:before="0" w:after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Estabelecimento de ensino formal (infantil, fundamental, médio ou superior) com área computável de 2.000 m²(dois mil metros quadrados) até 10.000 m² (dez mil metros quadrados). Fica isento o ensino formal público; </w:t>
      </w:r>
    </w:p>
    <w:p>
      <w:pPr>
        <w:pStyle w:val="Ttulo1"/>
        <w:spacing w:lineRule="auto" w:line="240" w:before="0" w:after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Estação de rádio base, radiodifusão, telefonia e televisão; </w:t>
      </w:r>
    </w:p>
    <w:p>
      <w:pPr>
        <w:pStyle w:val="Ttulo1"/>
        <w:spacing w:lineRule="auto" w:line="240" w:before="0" w:after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Garagem e estacionamento comercial acima de 100 (cem) veículos; </w:t>
      </w:r>
    </w:p>
    <w:p>
      <w:pPr>
        <w:pStyle w:val="Ttulo1"/>
        <w:spacing w:lineRule="auto" w:line="240" w:before="0" w:after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Indústria com área computável de 2.000 m² (dois mil metros quadrados) até 20.000 m² (vinte mil metros quadrados), quando de médio ou alto impacto urbano ambiental; </w:t>
      </w:r>
    </w:p>
    <w:p>
      <w:pPr>
        <w:pStyle w:val="Ttulo1"/>
        <w:spacing w:lineRule="auto" w:line="240" w:before="0" w:after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Posto de abastecimento; </w:t>
      </w:r>
    </w:p>
    <w:p>
      <w:pPr>
        <w:pStyle w:val="Ttulo1"/>
        <w:spacing w:lineRule="auto" w:line="240" w:before="0" w:after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Templo e local de culto em geral com área computável de 300 m² (trezentos metros quadrados) a 2.000 m² (dois mil metros quadrados); </w:t>
      </w:r>
    </w:p>
    <w:p>
      <w:pPr>
        <w:pStyle w:val="Ttulo1"/>
        <w:spacing w:lineRule="auto" w:line="240" w:before="0" w:after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Transporte rodoviário de passageiros e mudança e carga de 10 (dez) a 100 (cem) veículos; </w:t>
      </w:r>
    </w:p>
    <w:p>
      <w:pPr>
        <w:pStyle w:val="Ttulo1"/>
        <w:spacing w:lineRule="auto" w:line="240" w:before="0" w:after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Clínica veterinária com alojamento e canil comercial; </w:t>
      </w:r>
    </w:p>
    <w:p>
      <w:pPr>
        <w:pStyle w:val="Ttulo1"/>
        <w:spacing w:lineRule="auto" w:line="240" w:before="0" w:after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Atividades especiais (cemitérios existentes, crematórios, capelas mortuárias); </w:t>
      </w:r>
    </w:p>
    <w:p>
      <w:pPr>
        <w:pStyle w:val="Ttulo1"/>
        <w:spacing w:lineRule="auto" w:line="240" w:before="0" w:after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Casa/salão de festa com atividade noturna com mais de 300 m² (trezentos metros quadrados) de área computável e os com atividade diurna com mais de 1.000 m² (mil metros quadrados) de área computável; </w:t>
      </w:r>
    </w:p>
    <w:p>
      <w:pPr>
        <w:pStyle w:val="Ttulo1"/>
        <w:spacing w:lineRule="auto" w:line="240" w:before="0" w:after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Atividade de orla." (NR).</w:t>
      </w:r>
    </w:p>
    <w:sectPr>
      <w:headerReference w:type="default" r:id="rId3"/>
      <w:footerReference w:type="default" r:id="rId4"/>
      <w:type w:val="nextPage"/>
      <w:pgSz w:w="11906" w:h="16838"/>
      <w:pgMar w:left="1440" w:right="1440" w:gutter="0" w:header="0" w:top="2047" w:footer="0" w:bottom="148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0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tedodoquadro"/>
      <w:bidi w:val="0"/>
      <w:spacing w:before="10" w:after="0"/>
      <w:ind w:left="20" w:right="0" w:firstLine="100"/>
      <w:jc w:val="center"/>
      <w:rPr>
        <w:b/>
        <w:bCs/>
      </w:rPr>
    </w:pPr>
    <w:r>
      <w:rPr>
        <w:rFonts w:ascii="Times New Roman" w:hAnsi="Times New Roman"/>
        <w:b/>
        <w:bCs/>
        <w:sz w:val="20"/>
      </w:rPr>
      <w:t>_________________________________________________________________________________________</w:t>
    </w:r>
  </w:p>
  <w:p>
    <w:pPr>
      <w:pStyle w:val="Contedodoquadro"/>
      <w:bidi w:val="0"/>
      <w:spacing w:before="10" w:after="0"/>
      <w:ind w:left="20" w:right="0" w:firstLine="100"/>
      <w:jc w:val="center"/>
      <w:rPr/>
    </w:pPr>
    <w:r>
      <w:rPr>
        <w:rFonts w:ascii="Times New Roman" w:hAnsi="Times New Roman"/>
        <w:b/>
        <w:bCs/>
        <w:sz w:val="20"/>
      </w:rPr>
      <w:t>Rua Monte Castelo, 340 – Nossa Senhora das Graças – Canoas – RS – 92025-370</w:t>
    </w:r>
    <w:r>
      <w:rPr>
        <w:rFonts w:ascii="Times New Roman" w:hAnsi="Times New Roman"/>
        <w:b/>
        <w:bCs/>
        <w:spacing w:val="1"/>
        <w:sz w:val="20"/>
      </w:rPr>
      <w:t xml:space="preserve"> </w:t>
    </w:r>
  </w:p>
  <w:p>
    <w:pPr>
      <w:pStyle w:val="Contedodoquadro"/>
      <w:bidi w:val="0"/>
      <w:spacing w:before="10" w:after="0"/>
      <w:ind w:left="20" w:right="0" w:firstLine="100"/>
      <w:jc w:val="center"/>
      <w:rPr/>
    </w:pPr>
    <w:r>
      <w:rPr>
        <w:rFonts w:ascii="Times New Roman" w:hAnsi="Times New Roman"/>
        <w:b/>
        <w:bCs/>
        <w:spacing w:val="-1"/>
        <w:sz w:val="20"/>
      </w:rPr>
      <w:t>Telefone:</w:t>
    </w:r>
    <w:r>
      <w:rPr>
        <w:rFonts w:ascii="Times New Roman" w:hAnsi="Times New Roman"/>
        <w:b/>
        <w:bCs/>
        <w:spacing w:val="-12"/>
        <w:sz w:val="20"/>
      </w:rPr>
      <w:t xml:space="preserve"> </w:t>
    </w:r>
    <w:r>
      <w:rPr>
        <w:rFonts w:ascii="Times New Roman" w:hAnsi="Times New Roman"/>
        <w:b/>
        <w:bCs/>
        <w:spacing w:val="-1"/>
        <w:sz w:val="20"/>
      </w:rPr>
      <w:t>(51)</w:t>
    </w:r>
    <w:r>
      <w:rPr>
        <w:rFonts w:ascii="Times New Roman" w:hAnsi="Times New Roman"/>
        <w:b/>
        <w:bCs/>
        <w:spacing w:val="-10"/>
        <w:sz w:val="20"/>
      </w:rPr>
      <w:t xml:space="preserve"> </w:t>
    </w:r>
    <w:r>
      <w:rPr>
        <w:rFonts w:ascii="Times New Roman" w:hAnsi="Times New Roman"/>
        <w:b/>
        <w:bCs/>
        <w:sz w:val="20"/>
      </w:rPr>
      <w:t>3425.7630</w:t>
    </w:r>
    <w:r>
      <w:rPr>
        <w:rFonts w:ascii="Times New Roman" w:hAnsi="Times New Roman"/>
        <w:b/>
        <w:bCs/>
        <w:spacing w:val="-10"/>
        <w:sz w:val="20"/>
      </w:rPr>
      <w:t xml:space="preserve"> </w:t>
    </w:r>
    <w:r>
      <w:rPr>
        <w:rFonts w:ascii="Times New Roman" w:hAnsi="Times New Roman"/>
        <w:b/>
        <w:bCs/>
        <w:sz w:val="20"/>
      </w:rPr>
      <w:t>–</w:t>
    </w:r>
    <w:r>
      <w:rPr>
        <w:rFonts w:ascii="Times New Roman" w:hAnsi="Times New Roman"/>
        <w:b/>
        <w:bCs/>
        <w:spacing w:val="-12"/>
        <w:sz w:val="20"/>
      </w:rPr>
      <w:t xml:space="preserve"> </w:t>
    </w:r>
    <w:hyperlink r:id="rId1">
      <w:r>
        <w:rPr>
          <w:rFonts w:ascii="Times New Roman" w:hAnsi="Times New Roman"/>
          <w:b/>
          <w:bCs/>
          <w:sz w:val="20"/>
        </w:rPr>
        <w:t>smduh.canoas@canoas.rs.gov.br</w:t>
      </w:r>
      <w:r>
        <w:rPr>
          <w:rFonts w:ascii="Times New Roman" w:hAnsi="Times New Roman"/>
          <w:b/>
          <w:bCs/>
          <w:spacing w:val="-10"/>
          <w:sz w:val="20"/>
        </w:rPr>
        <w:t xml:space="preserve"> </w:t>
      </w:r>
    </w:hyperlink>
    <w:r>
      <w:rPr>
        <w:rFonts w:ascii="Times New Roman" w:hAnsi="Times New Roman"/>
        <w:b/>
        <w:bCs/>
        <w:sz w:val="20"/>
      </w:rPr>
      <w:t>/</w:t>
    </w:r>
    <w:r>
      <w:rPr>
        <w:rFonts w:ascii="Times New Roman" w:hAnsi="Times New Roman"/>
        <w:b/>
        <w:bCs/>
        <w:spacing w:val="-12"/>
        <w:sz w:val="20"/>
      </w:rPr>
      <w:t xml:space="preserve"> </w:t>
    </w:r>
    <w:r>
      <w:rPr>
        <w:rFonts w:ascii="Times New Roman" w:hAnsi="Times New Roman"/>
        <w:b/>
        <w:bCs/>
        <w:sz w:val="20"/>
      </w:rPr>
      <w:t>www.canoas.rs.gov.br</w:t>
    </w:r>
  </w:p>
  <w:p>
    <w:pPr>
      <w:pStyle w:val="Contedodoquadro"/>
      <w:bidi w:val="0"/>
      <w:spacing w:before="10" w:after="0"/>
      <w:ind w:left="20" w:right="0" w:firstLine="100"/>
      <w:jc w:val="center"/>
      <w:rPr>
        <w:rFonts w:ascii="Times New Roman" w:hAnsi="Times New Roman"/>
        <w:b/>
        <w:bCs/>
        <w:sz w:val="20"/>
      </w:rPr>
    </w:pPr>
    <w:r>
      <w:rPr>
        <w:rFonts w:ascii="Times New Roman" w:hAnsi="Times New Roman"/>
        <w:b/>
        <w:bCs/>
        <w:sz w:val="20"/>
      </w:rPr>
    </w:r>
  </w:p>
  <w:p>
    <w:pPr>
      <w:pStyle w:val="Contedodoquadro"/>
      <w:bidi w:val="0"/>
      <w:spacing w:before="10" w:after="0"/>
      <w:ind w:left="20" w:right="0" w:firstLine="100"/>
      <w:jc w:val="center"/>
      <w:rPr>
        <w:b/>
        <w:bCs/>
        <w:sz w:val="20"/>
      </w:rPr>
    </w:pPr>
    <w:r>
      <w:rPr>
        <w:b/>
        <w:bCs/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pageBreakBefore w:val="false"/>
      <w:spacing w:lineRule="auto" w:line="360"/>
      <w:jc w:val="both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drawing>
        <wp:anchor behindDoc="1" distT="57150" distB="57150" distL="57150" distR="57150" simplePos="0" locked="0" layoutInCell="0" allowOverlap="1" relativeHeight="7">
          <wp:simplePos x="0" y="0"/>
          <wp:positionH relativeFrom="column">
            <wp:posOffset>-336550</wp:posOffset>
          </wp:positionH>
          <wp:positionV relativeFrom="paragraph">
            <wp:posOffset>225425</wp:posOffset>
          </wp:positionV>
          <wp:extent cx="624840" cy="74676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pageBreakBefore w:val="false"/>
      <w:spacing w:lineRule="auto" w:line="360"/>
      <w:jc w:val="both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tab/>
      <w:t>ESTADO DO RIO GRANDE DO SUL</w:t>
    </w:r>
  </w:p>
  <w:p>
    <w:pPr>
      <w:pStyle w:val="LO-normal"/>
      <w:pageBreakBefore w:val="false"/>
      <w:spacing w:lineRule="auto" w:line="360"/>
      <w:jc w:val="both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tab/>
      <w:t>MUNICÍPIO DE CANOAS</w:t>
    </w:r>
  </w:p>
  <w:p>
    <w:pPr>
      <w:pStyle w:val="LO-normal"/>
      <w:spacing w:lineRule="auto" w:line="360" w:before="0" w:after="120"/>
      <w:ind w:left="40" w:right="360" w:hanging="20"/>
      <w:jc w:val="both"/>
      <w:rPr>
        <w:rFonts w:ascii="Times New Roman" w:hAnsi="Times New Roman" w:eastAsia="Times New Roman" w:cs="Times New Roman"/>
        <w:b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tab/>
      <w:tab/>
      <w:t>Secretaria Municipal de Desenvolvimento Urbano e Habitação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44" w:hanging="240"/>
      </w:pPr>
      <w:rPr>
        <w:sz w:val="24"/>
        <w:b/>
        <w:szCs w:val="24"/>
        <w:bCs/>
        <w:w w:val="99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79" w:hanging="356"/>
      </w:pPr>
      <w:rPr>
        <w:sz w:val="24"/>
        <w:szCs w:val="24"/>
        <w:w w:val="99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4" w:hanging="677"/>
      </w:pPr>
      <w:rPr>
        <w:sz w:val="24"/>
        <w:i w:val="false"/>
        <w:b/>
        <w:szCs w:val="24"/>
        <w:iCs w:val="false"/>
        <w:bCs/>
        <w:w w:val="99"/>
        <w:rFonts w:ascii="Times New Roman" w:hAnsi="Times New Roman" w:eastAsia="Times New Roman" w:cs="Times New Roman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80" w:hanging="677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22" w:hanging="677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65" w:hanging="677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08" w:hanging="677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851" w:hanging="677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94" w:hanging="677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7"/>
      <w:numFmt w:val="decimal"/>
      <w:lvlText w:val="%1"/>
      <w:lvlJc w:val="left"/>
      <w:pPr>
        <w:tabs>
          <w:tab w:val="num" w:pos="0"/>
        </w:tabs>
        <w:ind w:left="1337" w:hanging="41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37" w:hanging="416"/>
      </w:pPr>
      <w:rPr>
        <w:sz w:val="24"/>
        <w:szCs w:val="24"/>
        <w:w w:val="99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8" w:hanging="41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22" w:hanging="41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16" w:hanging="41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0" w:hanging="41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4" w:hanging="41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98" w:hanging="41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2" w:hanging="416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5"/>
      <w:numFmt w:val="decimal"/>
      <w:lvlText w:val="%1"/>
      <w:lvlJc w:val="left"/>
      <w:pPr>
        <w:tabs>
          <w:tab w:val="num" w:pos="0"/>
        </w:tabs>
        <w:ind w:left="1342" w:hanging="420"/>
      </w:pPr>
      <w:rPr>
        <w:lang w:val="pt-PT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342" w:hanging="420"/>
      </w:pPr>
      <w:rPr>
        <w:sz w:val="24"/>
        <w:szCs w:val="24"/>
        <w:w w:val="99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82" w:hanging="600"/>
      </w:pPr>
      <w:rPr>
        <w:sz w:val="24"/>
        <w:b/>
        <w:szCs w:val="24"/>
        <w:bCs/>
        <w:w w:val="99"/>
        <w:rFonts w:ascii="Times New Roman" w:hAnsi="Times New Roman" w:eastAsia="Times New Roman" w:cs="Times New Roman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24" w:hanging="60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6" w:hanging="60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8" w:hanging="60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1" w:hanging="60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13" w:hanging="60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35" w:hanging="600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6"/>
      <w:numFmt w:val="decimal"/>
      <w:lvlText w:val="%1"/>
      <w:lvlJc w:val="left"/>
      <w:pPr>
        <w:tabs>
          <w:tab w:val="num" w:pos="360"/>
        </w:tabs>
        <w:ind w:left="1702" w:hanging="42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702" w:hanging="420"/>
      </w:pPr>
      <w:rPr>
        <w:sz w:val="24"/>
        <w:szCs w:val="24"/>
        <w:w w:val="99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360"/>
        </w:tabs>
        <w:ind w:left="3288" w:hanging="42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360"/>
        </w:tabs>
        <w:ind w:left="4082" w:hanging="42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360"/>
        </w:tabs>
        <w:ind w:left="4876" w:hanging="42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360"/>
        </w:tabs>
        <w:ind w:left="5670" w:hanging="42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360"/>
        </w:tabs>
        <w:ind w:left="6464" w:hanging="42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360"/>
        </w:tabs>
        <w:ind w:left="7258" w:hanging="42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360"/>
        </w:tabs>
        <w:ind w:left="8052" w:hanging="420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start w:val="8"/>
      <w:numFmt w:val="decimal"/>
      <w:lvlText w:val="%1"/>
      <w:lvlJc w:val="left"/>
      <w:pPr>
        <w:tabs>
          <w:tab w:val="num" w:pos="0"/>
        </w:tabs>
        <w:ind w:left="922" w:hanging="43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2" w:hanging="430"/>
      </w:pPr>
      <w:rPr>
        <w:sz w:val="24"/>
        <w:szCs w:val="24"/>
        <w:w w:val="99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2" w:hanging="43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8" w:hanging="43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64" w:hanging="43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0" w:hanging="43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36" w:hanging="43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72" w:hanging="43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08" w:hanging="430"/>
      </w:pPr>
      <w:rPr>
        <w:rFonts w:ascii="Symbol" w:hAnsi="Symbol" w:cs="Symbol" w:hint="default"/>
        <w:lang w:val="pt-PT" w:eastAsia="en-US" w:bidi="ar-SA"/>
      </w:rPr>
    </w:lvl>
  </w:abstractNum>
  <w:abstractNum w:abstractNumId="6">
    <w:lvl w:ilvl="0">
      <w:numFmt w:val="bullet"/>
      <w:lvlText w:val="–"/>
      <w:lvlJc w:val="left"/>
      <w:pPr>
        <w:tabs>
          <w:tab w:val="num" w:pos="0"/>
        </w:tabs>
        <w:ind w:left="204" w:hanging="180"/>
      </w:pPr>
      <w:rPr>
        <w:rFonts w:ascii="Times New Roman" w:hAnsi="Times New Roman" w:cs="Times New Roman" w:hint="default"/>
        <w:sz w:val="24"/>
        <w:szCs w:val="24"/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08" w:hanging="18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6" w:hanging="18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24" w:hanging="18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32" w:hanging="18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40" w:hanging="18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48" w:hanging="18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6" w:hanging="18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4" w:hanging="180"/>
      </w:pPr>
      <w:rPr>
        <w:rFonts w:ascii="Symbol" w:hAnsi="Symbol" w:cs="Symbol" w:hint="default"/>
        <w:lang w:val="pt-PT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Hyperlink"/>
    <w:rPr>
      <w:color w:val="000080"/>
      <w:u w:val="single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>
    <w:name w:val="LO-normal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ListParagraph">
    <w:name w:val="List Paragraph"/>
    <w:basedOn w:val="Normal"/>
    <w:qFormat/>
    <w:pPr>
      <w:ind w:left="1342" w:right="0" w:hanging="361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Notaderodap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513" w:leader="none"/>
        <w:tab w:val="right" w:pos="9026" w:leader="none"/>
      </w:tabs>
    </w:pPr>
    <w:rPr/>
  </w:style>
  <w:style w:type="paragraph" w:styleId="Rodap">
    <w:name w:val="Footer"/>
    <w:basedOn w:val="CabealhoeRodap"/>
    <w:pPr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paragraph" w:styleId="Cabealho">
    <w:name w:val="Head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ecea.gov.br/aga)%3B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mduh.canoas@canoas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</TotalTime>
  <Application>LibreOffice/7.5.1.2$Windows_X86_64 LibreOffice_project/fcbaee479e84c6cd81291587d2ee68cba099e129</Application>
  <AppVersion>15.0000</AppVersion>
  <Pages>6</Pages>
  <Words>1424</Words>
  <Characters>8304</Characters>
  <CharactersWithSpaces>9544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2023-03-24T11:29:55Z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