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Estudo de Impacto de Vizinhança – EIV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O EIV (Estudo de Impacto de Vizinhança) deverá ser realizado conforme regramento do PDUA (Plano Diretor de Desenvolvimento Urbano e Ambiental), Lei 5.341/08,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5961/2015 e 6569/2022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, em que no Anexo 4.4. prevê as atividades passíveis de EIV.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O EIV deverá ser protocolado na Secretaria Municipal de Desenvolvimento Urbano e Habitação que repassará aos membros da CCU (Comissão de Controle Urbanístico) para análise e deliberação. Após aprovação interna na Prefeitura Municipal, o EIV será publicado via Portal da Prefeitura e será objeto de análise e aprovação no CMDU (Conselho Municipal de Desenvolvimento Urbano).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N° PROCESSO: (deixar este espaço em branco),</w:t>
      </w:r>
    </w:p>
    <w:p>
      <w:pPr>
        <w:pStyle w:val="Normal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1. CAPA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1.1 Título;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1.2 Nome do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1.3 Empresa ou Técnico responsável pela elaboração do EVU;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1.4 Empreendedor;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1.5 Data (de conclusão da EVU).</w:t>
      </w:r>
    </w:p>
    <w:p>
      <w:pPr>
        <w:pStyle w:val="Normal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2. IDENTIFICAÇÃO DO EMPREENDIMENTO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2.1 Nome do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2.2 Localização fender o1quadra e lote(s].</w:t>
      </w:r>
    </w:p>
    <w:p>
      <w:pPr>
        <w:pStyle w:val="Normal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3. IDENTIFICAÇÃO DO AUTOR DO EVU E DO EMPREENDEDOR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3.1 Autor do EVU::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3.2 Nome da Empresa de Consultoria;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3.3 Nome do Responsável Técnico - RT;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3.4 Formação e Número do Registro Profissional;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3.5 Endereço (completo com CEP);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3.6 Telefones (telefone comerciai e celular) / Fax;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3.7 E-mail.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4. EMPREENDEDOR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 Nome da. Empresa;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4.2 CNPJ;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4.3 Nome do Responsável legal pelo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4.4 Endereço (completo com CEP);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4.5 Telefones (telefone comercial e celular) / Fax;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4.6 E-mail;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4.7 ISSQN atualizado do profissional.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4.8 Identificação do Imóvel - BCI (SMF);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4.9 Matrícula do Imóvel Atualizada (R.I.) e certidão negativa de débitos (SMF);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4.10 Licença Prévia - LP ou LU (SMMA)*;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4.11 Diretrizes do DEP (SMO), quando tratar-se de parcelamento do solo;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4.12 Memorial Descritivo;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4.13 ART / RRT de EIV;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4.14 Certidão de Zoneamento;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4.15 Alinhamento e diretrizes urbanísticas;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4.16 Contrato social ou estatuto no caso do imóvel.</w:t>
      </w:r>
    </w:p>
    <w:p>
      <w:pPr>
        <w:pStyle w:val="Normal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5. APRESENTAÇÃO DAS INFORMAÇÕES NECESSÁRIAS À ANÁLISE. TÉCNICA DE ADEQUAÇÃO DO EMPREENDIMENTO OU ATIVIDADE ÀS CONDIÇÕES LOCAIS E DE SUAS ALTERNATIVAS TECNOLÓGICAS, CONTENDO, NO MÍNIMO, A INDICAÇÃO DE: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5.1 Localização;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5.2 Atividades previstas;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5.3 Áreas, dimensões e volumetria;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5.4 Levantamento planialtimétrico do terreno, amarrando a rede oficial de topografia do Município;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5.5 Mapeamento das redes de água, esgoto, água pluvial, energia elétrica, iluminação pública e telefonia no perímetro do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5.6 Indicação de entradas, saldas, geração de viagens e distribuição no sistema viário.</w:t>
      </w:r>
    </w:p>
    <w:p>
      <w:pPr>
        <w:pStyle w:val="Normal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6. DESCRIÇÃO DA ÁREA DE VIZINHANÇA E DA RESPECTIVA POPULAÇÃO RESIDENTE INDICANDO, NO MÍNIMO: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6.1 Levantamento dos usos e volumetria de todos os imóveis e construções existentes localizados na área de vizinhança;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6.2 Indicação das zonas de uso constantes na legislação de uso e ocupação do solo na área de vizinhança;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6.3 Indicação dos bens gravados corno Zona Especial de Interesse Cultural (PDUA) ou que tenham sido tombados em nível Municipal, Estadual e Federal, na fração urbana e no raio de 100 (cem) metros, contados do perímetro do imóvel ou dos imóveis onde o empreendimento esteja localizado.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7. COMPATIBILIZAÇÃO COM PLANOS E PROGRAMAS GOVERNAMENTAIS COM A LEGISLAÇÃO URBANÍSTICA E AMBIENTAL E COM A INFRA-ESTRUTURA URBANA E O SISTEMA VIÁRIO NA ÁREA DE VIZINHANÇA, CONTEMPLANDO, NO MÍNIMO, OS SEGUINTES ASPECTOS: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7.1 Demarcação de melhoramento públicos na vizinhança, em execução ou previstos em lei;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7.2 Certidão de diretrizes referentes a adequação ao sistema viário fornecida pelo SMTM;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7.3 Demonstração da viabilidade de abastecimento de água, de coleta de esgotos, de abastecimento de energia elétrica, declarada pela respectiva concessionária do serviço.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8. DETALHAMENTO DOS ESTUDOS - DIAGNÓSTICO E PROGNÓSTICO: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8.1 Adensamento populacional: avaliação dos dados populacionais atualizados, previsão de crescimento populacional, previsão de densidade de ocupação do Plano Diretor, prognóstico de situação futura, impactos relacionados a este crescimento populacional, participação do empreendimento no prognóstico futuro, capacidade de absorção do ambiente urbano e respectiva significância do adensamento previsto;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8.2 Equipamentos urbanos e comunitários: levantamento da situação atual e prevista quanto a praças, parques, creches, escolas, hospitais a clubes, empresas, infra-estrutura urbana (esgoto cloacal e pluvial, iluminação, abastecimento de água, etc.) e sua relação com a área em análise. Verificação da interferência ou não do empreendimento com estes equipamentos e infra-estrutura;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8.3 Caracterização da drenagem superficial com relação ao comportamento atual de redes existentes e corpos d'água condutores, ressaltando pontos críticos;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8.4 Uso e ocupação do solo: levantamento do perfil de uso e ocupação do solo no entorno do empreendimento (residencial, comercial, institucional, etc), compatibilidade do empreendimento com esse perfil, ocorrências de possíveis alterações com ou sem influência do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8,5 Valorização imobiliária avaliação do perfil atual em termos de situação fundiária no entorno, custos médios de comercialização de imóveis, avaliação dos efeitos da inserção do empreendimento no cenário atual e cenário futuro;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 Geração de tráfego e demanda por transporte público: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8.6.1 Avaliação das condições de macro e micro-acessibilidade, das condições de circulação do entorno do empreendimento, a capacidade e o nível de serviço do sistema viário existente;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8.6.2 Elaboração de Levantamentos de Tráfego para a quantificação ao do carregamento no sistema viário, bem como o balanceamento da rede de tráfego;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8.6.3 Elaboração de Estudo de Impacto de Trânsito (EIT), segundo o Manual de Procedimentos para o Tratamento dos Pólos Geradores de Tráfego – DENATRAN;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8.6.4 Análise de macro-acessibibdade ao empreendimento (todos os modais considerando a malha viária existente e a malha gravada;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8.6.5 Identificação das vias sob influência direta e indireta do empreendimento especificando a geometria atual das vias com identificação de obras de arte, ciclovias, etc.: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8.6.6 Dimensionar a malha viária considerando. as demandas futuras de densificação, conforme as taxas máximas permitidas para a área;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8.6.7 Desenvolver proposta de conexão do empreendimento com a malha viária estruturadora e sistema de transporta coletivo do entorno, se for o caso;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8.6.8 Avaliar o volume de tráfego /capacidade nas vias da malha viária antes de propor soluções de disciplinamento dos entornos, de forma a não comprometer a capacidade das vias;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8.6.9 Avaliar as principais interseções destas vias, considerando a segurança (pedestres e veículos);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8.6.10 Dimensionar os cruzamentos propostos, de tal forma que absorvam o crescimento de tráfego de passagem gerado pelo adensamento e o tráfego gerado pelo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8.6.11 Apresentar o estudo de impactos gerados, em função dos quarteirões com superfície maior que as previstas em lei, caso seja proposta, em especial nos aspectos relativos à circulação peatonal e veicular, continuidade das malhas viárias adjacentes que formam o entorno urbano da gleba estudada;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8.6.12 Apresentar planta baixa de todas as ruas internas e no entorno afetadas pelo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8.7 Ventilação e Iluminação: levantamento de dados climáticos de interesse para o presente estudo avaliação do perfil topográfico local e perfil volumétrico de edificações existentes e permitidas pelo Plano Diretor, confrontação com o projeto do condomínio. Verificação da interferência ou não do empreendimento sobre a condição atual de iluminação e ventilação no local de estudo e sua respectiva significância;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8.8 Paisagem urbana e patrimônio natural e cultural: levantamento dos eventuais valores paisagísticos existentes/relacionados ao local do estudo, bens naturais e culturais associados e a possível interferência do empreendimento em retração aos mesmos;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8.9 Ruído: levantamento da situação atual em termos de níveis de pressão sonora (medição in loco dos níveis máximos e ruídos de fundo), prognóstico da situação futura, avaliação da conformidade com a norma geral e eventual critério municipal, avaliação do uso permitido pelo PDUA, proposição de alternativas de minimização de eventuais não conformidades.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9 IDENTIFICAÇÃO E AVALIAÇÃO DOS IMPACTOS NA ÁREA DE VIZINHANÇA DURANTE AS FASES DE IMPLANTAÇÃO, OPERAÇÃO OU FUNCIONAMENTO E, QUANDO FOR O CASO, DE DESATIVAÇÃO DO EMPREENDIMENTO OU ATIVIDADE CONTENDO, NO MÍNIMO: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9.1 Destino final do material resultante do movimento de terra;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9.2 Destino final do entulho da obra;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9.3 Existência de arborização e de cobertura vegetal no terreno;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9.4 Impactos sobre a micro e macroacessibilidade viária e peatonal;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9.5 Alteração e compatibilização em termos de uso e ocupação do solo;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9.6 Alteração do perfil de valorização imobiliária no entorno;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9.7 Impactos sobre a infra-estrutura existente e a sua viabilidade de compatibilização;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9.8 Produção e nível de ruídos e vibrações.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10. DEFINIÇÃO DE MEDIDAS MITIGATÓRIAS, COMPATIBILIZADORAS E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COMPENSATÓRIAS: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10.1 Elaboração de programa de monitoramento dos impactos e da implementação de medidas mitigadoras.</w:t>
      </w:r>
    </w:p>
    <w:p>
      <w:pPr>
        <w:pStyle w:val="Normal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11. DELIMITAÇÃO DA ÁREA DE INFLUÊNCIA DIRETA E INDIRETA. AVALIAÇÃO DOS POSSÍVEIS IMPACTOS GERADOS NA ÁREA DE INFLUÊNCIA NAS ETAPAS DE IMPLANTAÇÃO E OPERAÇÃO DO EMPREENDIMENTO ANALISANDO ENTRE OUTROS OS SEGUINTES ASPECTOS AO QUANTO MEIO FÍSICO, BIÓTICO E ANTRÓPICO: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11.1 Alterações na estabilidade dos terrenos e na qualidade dos solos;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11.2 Alterações no relevo e nos regimes de escoamento superficial e subterrâneo;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11.3 Alterações na qualidade e na disponibilidade das águas superficiais e subterrâneas;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11.4 Alterações na qualidade do ar;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11.5 Geração de ruídos e vibrações;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11.6 Alterações na vegetação;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11.7 Alterações nas comunidades aquáticas;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11.8 Alterações nos nichos relativos á fauna terrestre;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11.9 Identificação e avaliação dos impactos a unidade de Conservações num ralo de 10km do empreendimento;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11.10 avaliação de riscos tecnológicos associados ao empreendimento considerando o uso do solo na área de influência.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OBSERVAÇÃO: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1- A entrega do EIV deverá ser feita por meio de 5 (cinco) vias impressas e 2 (duas) vias em meio digital (CD), acompanhado da Anotação de Responsabilidade Técnica (ART). As plantas e mapas do EIV deverão ser apresentados em escala compatível à análise a ser realizada.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CCU, Comissão de Controle Urbanístico, é a responsável em unificar as informações das diversas secretarias e, também, pela deliberação final para a aprovação dos empreendimentos passíveis de EVU e EIV. Contato com o Secretário-executivo da CCU podem ser feitos pelo telefone 3425-7630 Ramal 5727 e e-mail </w:t>
      </w:r>
      <w:hyperlink r:id="rId2">
        <w:r>
          <w:rPr>
            <w:rStyle w:val="LinkdaInternet"/>
            <w:rFonts w:ascii="Times New Roman" w:hAnsi="Times New Roman"/>
            <w:b/>
            <w:bCs/>
            <w:color w:val="000000"/>
            <w:sz w:val="24"/>
            <w:szCs w:val="24"/>
            <w:lang w:val="pt-PT"/>
          </w:rPr>
          <w:t>smduh.canoas@canoas.rs.gov.br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.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b w:val="false"/>
          <w:bCs w:val="fals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E.I.V.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Empreendimentos: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1. Empreendimentos e/ou edificações não residenciais com área computável maior que 20.000m2 ou estacionamentos maiores de 300 veículos;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2. Empreendimentos residenciais com mais de 500 unidades residenciais;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3. Loteamentos em áreas maiores que 50ha.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EIV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Atividades: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1. Centro cultural de eventos ou locais para esporte com área computável acima de 5.000 m² (cinco mil metros quadrados);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2. Entretenimento noturno com área computável superior a 1.000m2;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 xml:space="preserve">3. Supermercados com área computável acima de 20.000 m² (vinte mil metros quadrados); 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4. Shopping Centers e Centros Comerciais com área computável superior a 20.000m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5. Central de abastecimento com área computável maior que 20.000m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6. Estabelecimento de ensino e universidade com área computável maior de 10.000 m² (dez mil metros quadrados). Fica isento o ensino formal público;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7. Templo o local de culto geral com área superior a 2.000m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8. Terminais de passageiros e/ou carga;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9. Club, associações e similares com área computável superior a 2.000m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10. Transporte rodoviário de passageiros, mudança e carga com mais de 100 veículos;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11. Pólos geradores de tráfego, de ruído ou de risco;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12. Atividades Especiais (porto, rodovia, estágio, autódromo, kartódromo, hipódromo, marina, parque temático, penitenciária, heliporto, aeródromos, cemitérios novos, crematório fora de cemitério existente);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13. Comércio atacadista com área computável superior a 20.000m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14. Depósito com área computável superior a 20.000m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15. Logística com área superior a 20.000m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16. Hospitais e clínicas de saúde com área computável acima de 2.000 m² (dois mil metros quadrados). Ficam isentos os da administração pública;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17. Indústria com área computável superior a 20.000m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²;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18. Usinas de concreto e Extração de areia;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t-PT"/>
        </w:rPr>
        <w:t>19. Parque logístico/Industrial.</w:t>
      </w:r>
    </w:p>
    <w:sectPr>
      <w:headerReference w:type="default" r:id="rId3"/>
      <w:footerReference w:type="default" r:id="rId4"/>
      <w:type w:val="nextPage"/>
      <w:pgSz w:w="11906" w:h="16838"/>
      <w:pgMar w:left="1440" w:right="1440" w:gutter="0" w:header="0" w:top="2047" w:footer="0" w:bottom="148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bidi w:val="0"/>
      <w:spacing w:before="10" w:after="0"/>
      <w:ind w:left="20" w:right="0" w:firstLine="100"/>
      <w:jc w:val="center"/>
      <w:rPr>
        <w:b/>
        <w:bCs/>
      </w:rPr>
    </w:pPr>
    <w:r>
      <w:rPr>
        <w:rFonts w:ascii="Times New Roman" w:hAnsi="Times New Roman"/>
        <w:b/>
        <w:bCs/>
        <w:sz w:val="20"/>
      </w:rPr>
      <w:t>_________________________________________________________________________________________</w:t>
    </w:r>
  </w:p>
  <w:p>
    <w:pPr>
      <w:pStyle w:val="Contedodoquadro"/>
      <w:bidi w:val="0"/>
      <w:spacing w:before="10" w:after="0"/>
      <w:ind w:left="20" w:right="0" w:firstLine="100"/>
      <w:jc w:val="center"/>
      <w:rPr/>
    </w:pPr>
    <w:r>
      <w:rPr>
        <w:rFonts w:ascii="Times New Roman" w:hAnsi="Times New Roman"/>
        <w:b/>
        <w:bCs/>
        <w:sz w:val="20"/>
      </w:rPr>
      <w:t>Rua Monte Castelo, 340 – Nossa Senhora das Graças – Canoas – RS – 92025-370</w:t>
    </w:r>
    <w:r>
      <w:rPr>
        <w:rFonts w:ascii="Times New Roman" w:hAnsi="Times New Roman"/>
        <w:b/>
        <w:bCs/>
        <w:spacing w:val="1"/>
        <w:sz w:val="20"/>
      </w:rPr>
      <w:t xml:space="preserve"> </w:t>
    </w:r>
  </w:p>
  <w:p>
    <w:pPr>
      <w:pStyle w:val="Contedodoquadro"/>
      <w:bidi w:val="0"/>
      <w:spacing w:before="10" w:after="0"/>
      <w:ind w:left="20" w:right="0" w:firstLine="100"/>
      <w:jc w:val="center"/>
      <w:rPr/>
    </w:pPr>
    <w:r>
      <w:rPr>
        <w:rFonts w:ascii="Times New Roman" w:hAnsi="Times New Roman"/>
        <w:b/>
        <w:bCs/>
        <w:spacing w:val="-1"/>
        <w:sz w:val="20"/>
      </w:rPr>
      <w:t>Telefone:</w:t>
    </w:r>
    <w:r>
      <w:rPr>
        <w:rFonts w:ascii="Times New Roman" w:hAnsi="Times New Roman"/>
        <w:b/>
        <w:bCs/>
        <w:spacing w:val="-12"/>
        <w:sz w:val="20"/>
      </w:rPr>
      <w:t xml:space="preserve"> </w:t>
    </w:r>
    <w:r>
      <w:rPr>
        <w:rFonts w:ascii="Times New Roman" w:hAnsi="Times New Roman"/>
        <w:b/>
        <w:bCs/>
        <w:spacing w:val="-1"/>
        <w:sz w:val="20"/>
      </w:rPr>
      <w:t>(51)</w:t>
    </w:r>
    <w:r>
      <w:rPr>
        <w:rFonts w:ascii="Times New Roman" w:hAnsi="Times New Roman"/>
        <w:b/>
        <w:bCs/>
        <w:spacing w:val="-10"/>
        <w:sz w:val="20"/>
      </w:rPr>
      <w:t xml:space="preserve"> </w:t>
    </w:r>
    <w:r>
      <w:rPr>
        <w:rFonts w:ascii="Times New Roman" w:hAnsi="Times New Roman"/>
        <w:b/>
        <w:bCs/>
        <w:sz w:val="20"/>
      </w:rPr>
      <w:t>3425.7630 – Ramal 5727</w:t>
    </w:r>
    <w:r>
      <w:rPr>
        <w:rFonts w:ascii="Times New Roman" w:hAnsi="Times New Roman"/>
        <w:b/>
        <w:bCs/>
        <w:spacing w:val="-10"/>
        <w:sz w:val="20"/>
      </w:rPr>
      <w:t xml:space="preserve"> </w:t>
    </w:r>
    <w:r>
      <w:rPr>
        <w:rFonts w:ascii="Times New Roman" w:hAnsi="Times New Roman"/>
        <w:b/>
        <w:bCs/>
        <w:sz w:val="20"/>
      </w:rPr>
      <w:t>–</w:t>
    </w:r>
    <w:r>
      <w:rPr>
        <w:rFonts w:ascii="Times New Roman" w:hAnsi="Times New Roman"/>
        <w:b/>
        <w:bCs/>
        <w:spacing w:val="-12"/>
        <w:sz w:val="20"/>
      </w:rPr>
      <w:t xml:space="preserve"> </w:t>
    </w:r>
    <w:hyperlink r:id="rId1">
      <w:r>
        <w:rPr>
          <w:rFonts w:ascii="Times New Roman" w:hAnsi="Times New Roman"/>
          <w:b/>
          <w:bCs/>
          <w:sz w:val="20"/>
        </w:rPr>
        <w:t>smduh.canoas@canoas.rs.gov.br</w:t>
      </w:r>
      <w:r>
        <w:rPr>
          <w:rFonts w:ascii="Times New Roman" w:hAnsi="Times New Roman"/>
          <w:b/>
          <w:bCs/>
          <w:spacing w:val="-10"/>
          <w:sz w:val="20"/>
        </w:rPr>
        <w:t xml:space="preserve"> </w:t>
      </w:r>
    </w:hyperlink>
    <w:r>
      <w:rPr>
        <w:rFonts w:ascii="Times New Roman" w:hAnsi="Times New Roman"/>
        <w:b/>
        <w:bCs/>
        <w:sz w:val="20"/>
      </w:rPr>
      <w:t>/</w:t>
    </w:r>
    <w:r>
      <w:rPr>
        <w:rFonts w:ascii="Times New Roman" w:hAnsi="Times New Roman"/>
        <w:b/>
        <w:bCs/>
        <w:spacing w:val="-12"/>
        <w:sz w:val="20"/>
      </w:rPr>
      <w:t xml:space="preserve"> </w:t>
    </w:r>
    <w:r>
      <w:rPr>
        <w:rFonts w:ascii="Times New Roman" w:hAnsi="Times New Roman"/>
        <w:b/>
        <w:bCs/>
        <w:sz w:val="20"/>
      </w:rPr>
      <w:t>www.canoas.rs.gov.br</w:t>
    </w:r>
  </w:p>
  <w:p>
    <w:pPr>
      <w:pStyle w:val="Contedodoquadro"/>
      <w:bidi w:val="0"/>
      <w:spacing w:before="10" w:after="0"/>
      <w:ind w:left="20" w:right="0" w:firstLine="100"/>
      <w:jc w:val="cent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</w:r>
  </w:p>
  <w:p>
    <w:pPr>
      <w:pStyle w:val="Contedodoquadro"/>
      <w:bidi w:val="0"/>
      <w:spacing w:before="10" w:after="0"/>
      <w:ind w:left="20" w:right="0" w:firstLine="100"/>
      <w:jc w:val="center"/>
      <w:rPr>
        <w:b/>
        <w:bCs/>
        <w:sz w:val="20"/>
      </w:rPr>
    </w:pPr>
    <w:r>
      <w:rPr>
        <w:b/>
        <w:bCs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pageBreakBefore w:val="false"/>
      <w:spacing w:lineRule="auto" w:line="36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0" distT="57150" distB="57150" distL="57150" distR="57150" simplePos="0" locked="0" layoutInCell="0" allowOverlap="1" relativeHeight="8">
          <wp:simplePos x="0" y="0"/>
          <wp:positionH relativeFrom="column">
            <wp:posOffset>-336550</wp:posOffset>
          </wp:positionH>
          <wp:positionV relativeFrom="paragraph">
            <wp:posOffset>225425</wp:posOffset>
          </wp:positionV>
          <wp:extent cx="624840" cy="74676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pageBreakBefore w:val="false"/>
      <w:spacing w:lineRule="auto" w:line="36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  <w:t>ESTADO DO RIO GRANDE DO SUL</w:t>
    </w:r>
  </w:p>
  <w:p>
    <w:pPr>
      <w:pStyle w:val="LO-normal"/>
      <w:pageBreakBefore w:val="false"/>
      <w:spacing w:lineRule="auto" w:line="36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  <w:t>MUNICÍPIO DE CANOAS</w:t>
    </w:r>
  </w:p>
  <w:p>
    <w:pPr>
      <w:pStyle w:val="LO-normal"/>
      <w:spacing w:lineRule="auto" w:line="360" w:before="0" w:after="120"/>
      <w:ind w:left="40" w:right="360" w:hanging="20"/>
      <w:jc w:val="both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  <w:tab/>
      <w:t>Secretaria Municipal de Desenvolvimento Urbano e Habitação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Hyperlink"/>
    <w:rPr>
      <w:color w:val="000080"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istParagraph">
    <w:name w:val="List Paragraph"/>
    <w:basedOn w:val="Normal"/>
    <w:qFormat/>
    <w:pPr>
      <w:ind w:left="1342" w:right="0" w:hanging="36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duh.canoas@canoas.rs.gov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mduh.canoas@canoas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LibreOffice/7.5.1.2$Windows_X86_64 LibreOffice_project/fcbaee479e84c6cd81291587d2ee68cba099e129</Application>
  <AppVersion>15.0000</AppVersion>
  <Pages>7</Pages>
  <Words>1876</Words>
  <Characters>10926</Characters>
  <CharactersWithSpaces>12665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2023-03-24T16:50:48Z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