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ESTUDO TÉCNICO PRELIMINAR – LEI 14.133/2021</w:t>
      </w:r>
    </w:p>
    <w:p w:rsidR="00F60E6C" w:rsidRDefault="00F60E6C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1 - INFORMAÇÕES BÁSICAS: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Secretaria Requisitante: Secretaria Municipal da Saúde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  <w:shd w:val="clear" w:color="auto" w:fill="FF990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 xml:space="preserve">Processo SEI n° 25.0.000053035-5 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2 -SERVIDOR RESPONSÁVEL PELO PLANEJAMENTO: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 Lenise Chuaste</w:t>
      </w:r>
    </w:p>
    <w:p w:rsidR="00F60E6C" w:rsidRDefault="004C29A0">
      <w:pPr>
        <w:keepLines w:val="0"/>
        <w:tabs>
          <w:tab w:val="left" w:pos="2979"/>
        </w:tabs>
        <w:spacing w:before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Matrícula: 101365</w:t>
      </w:r>
      <w:r>
        <w:rPr>
          <w:color w:val="000000"/>
          <w:sz w:val="20"/>
          <w:szCs w:val="20"/>
        </w:rPr>
        <w:tab/>
      </w: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3 - DESCRIÇÃO DA NECESSIDADE DA CONTRATAÇÃO:</w:t>
      </w:r>
    </w:p>
    <w:p w:rsidR="00F60E6C" w:rsidRDefault="00F60E6C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Considerando mandados judiciais com solicitação de </w:t>
      </w:r>
      <w:proofErr w:type="spellStart"/>
      <w:r>
        <w:rPr>
          <w:color w:val="000000"/>
          <w:sz w:val="20"/>
          <w:szCs w:val="20"/>
        </w:rPr>
        <w:t>canabidiol</w:t>
      </w:r>
      <w:proofErr w:type="spellEnd"/>
      <w:r>
        <w:rPr>
          <w:color w:val="000000"/>
          <w:sz w:val="20"/>
          <w:szCs w:val="20"/>
        </w:rPr>
        <w:t>; </w:t>
      </w: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Considerando vigência do edital 82/20024: data:11/10/2025;</w:t>
      </w: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Justifica-se a abertura de registro de preços para atender às necessidades de demanda j</w:t>
      </w:r>
      <w:r>
        <w:rPr>
          <w:color w:val="000000"/>
          <w:sz w:val="20"/>
          <w:szCs w:val="20"/>
        </w:rPr>
        <w:t>udicial da Secretaria Municipal da Saúde do Município de Canoas;</w:t>
      </w: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Considerando etapa 66 do processo MVP 61095/2022 </w:t>
      </w:r>
      <w:r>
        <w:rPr>
          <w:i/>
          <w:color w:val="000000"/>
          <w:sz w:val="20"/>
          <w:szCs w:val="20"/>
        </w:rPr>
        <w:t>“Prezados, como vice-presidente da Comissão de Farmácia e Terapêutica conforme decreto nº 83/2021 vigente, anexo, e novo decreto a ser publica</w:t>
      </w:r>
      <w:r>
        <w:rPr>
          <w:i/>
          <w:color w:val="000000"/>
          <w:sz w:val="20"/>
          <w:szCs w:val="20"/>
        </w:rPr>
        <w:t>do através do memorando 2023002319 com os membros da comissão de farmácia e terapêutica atualizado, faço o seguinte despacho em resposta ao despacho jurídico anexo na etapa 60: A matéria de que se trata a abertura deste registro de preço em pauta, não se t</w:t>
      </w:r>
      <w:r>
        <w:rPr>
          <w:i/>
          <w:color w:val="000000"/>
          <w:sz w:val="20"/>
          <w:szCs w:val="20"/>
        </w:rPr>
        <w:t>rata de programas específicos do município, ou seja, está fora do escopo das atribuições da comissão de farmácia e terapêutica”.</w:t>
      </w: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Considerando Orientações para Aquisições Públicas de Medicamentos-Tribunal de Contas da União, “</w:t>
      </w:r>
      <w:r>
        <w:rPr>
          <w:i/>
          <w:color w:val="000000"/>
          <w:sz w:val="20"/>
          <w:szCs w:val="20"/>
          <w:highlight w:val="white"/>
        </w:rPr>
        <w:t>No caso específico da aquisição</w:t>
      </w:r>
      <w:r>
        <w:rPr>
          <w:i/>
          <w:color w:val="000000"/>
          <w:sz w:val="20"/>
          <w:szCs w:val="20"/>
          <w:highlight w:val="white"/>
        </w:rPr>
        <w:t xml:space="preserve"> de medicamentos, muitos editais incluem, inadequadamente, a apresentação do Certificado de Boas Práticas de Fabricação (CBPF) como critério de habilitação. A errônea inclusão desse tipo de cláusula pode ter decorrido do disposto na Portaria GM/MS 2.814/19</w:t>
      </w:r>
      <w:r>
        <w:rPr>
          <w:i/>
          <w:color w:val="000000"/>
          <w:sz w:val="20"/>
          <w:szCs w:val="20"/>
          <w:highlight w:val="white"/>
        </w:rPr>
        <w:t>98, alterada pela Portaria GM/MS 3.765/1998, segundo a qual: Art. 5º Nas compras e licitações públicas de medicamentos, realizadas pelos serviços próprios, conveniados e contratados do SUS, devem ser observadas as seguintes exigências: (...) III – Certific</w:t>
      </w:r>
      <w:r>
        <w:rPr>
          <w:i/>
          <w:color w:val="000000"/>
          <w:sz w:val="20"/>
          <w:szCs w:val="20"/>
          <w:highlight w:val="white"/>
        </w:rPr>
        <w:t xml:space="preserve">ado de Boas Práticas de Fabricação por linha de produção/produtos, emitido pela Secretaria de Vigilância Sanitária do Ministério da Saúde; (...). Essa exigência já foi objeto de representação no TCU, a fim de que fosse dado tratamento sistêmico e uniforme </w:t>
      </w:r>
      <w:r>
        <w:rPr>
          <w:i/>
          <w:color w:val="000000"/>
          <w:sz w:val="20"/>
          <w:szCs w:val="20"/>
          <w:highlight w:val="white"/>
        </w:rPr>
        <w:t xml:space="preserve">ao tema, considerando outras representações que questionaram sua legalidade, bem como a presença desse tipo de requisição em editais analisados em auditorias realizadas pelo </w:t>
      </w:r>
      <w:proofErr w:type="gramStart"/>
      <w:r>
        <w:rPr>
          <w:i/>
          <w:color w:val="000000"/>
          <w:sz w:val="20"/>
          <w:szCs w:val="20"/>
          <w:highlight w:val="white"/>
        </w:rPr>
        <w:t>TCU.”</w:t>
      </w:r>
      <w:proofErr w:type="gramEnd"/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Considerando descrição dos itens justificamos que se trata de cumprimento de</w:t>
      </w:r>
      <w:r>
        <w:rPr>
          <w:color w:val="000000"/>
          <w:sz w:val="20"/>
          <w:szCs w:val="20"/>
        </w:rPr>
        <w:t xml:space="preserve"> decisão judicial, conforme segue:</w:t>
      </w:r>
    </w:p>
    <w:tbl>
      <w:tblPr>
        <w:tblStyle w:val="a2"/>
        <w:tblpPr w:leftFromText="141" w:rightFromText="141" w:vertAnchor="text" w:tblpY="269"/>
        <w:tblW w:w="11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07"/>
        <w:gridCol w:w="2175"/>
        <w:gridCol w:w="3204"/>
        <w:gridCol w:w="4797"/>
      </w:tblGrid>
      <w:tr w:rsidR="00F60E6C">
        <w:trPr>
          <w:trHeight w:val="315"/>
        </w:trPr>
        <w:tc>
          <w:tcPr>
            <w:tcW w:w="1207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quantidade</w:t>
            </w:r>
            <w:proofErr w:type="gramEnd"/>
          </w:p>
        </w:tc>
        <w:tc>
          <w:tcPr>
            <w:tcW w:w="217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CATMAT</w:t>
            </w:r>
          </w:p>
        </w:tc>
        <w:tc>
          <w:tcPr>
            <w:tcW w:w="320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item</w:t>
            </w:r>
            <w:proofErr w:type="gramEnd"/>
          </w:p>
        </w:tc>
        <w:tc>
          <w:tcPr>
            <w:tcW w:w="47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b/>
                <w:color w:val="333333"/>
                <w:sz w:val="20"/>
                <w:szCs w:val="20"/>
              </w:rPr>
              <w:t>número</w:t>
            </w:r>
            <w:proofErr w:type="gramEnd"/>
            <w:r>
              <w:rPr>
                <w:b/>
                <w:color w:val="333333"/>
                <w:sz w:val="20"/>
                <w:szCs w:val="20"/>
              </w:rPr>
              <w:t xml:space="preserve"> da ordem judicial</w:t>
            </w:r>
          </w:p>
        </w:tc>
      </w:tr>
      <w:tr w:rsidR="00F60E6C">
        <w:trPr>
          <w:trHeight w:val="315"/>
        </w:trPr>
        <w:tc>
          <w:tcPr>
            <w:tcW w:w="1207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7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620704</w:t>
            </w:r>
          </w:p>
        </w:tc>
        <w:tc>
          <w:tcPr>
            <w:tcW w:w="320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canabidiol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50mg/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solução oral (PRATI DONADUZZI) frasco 30mL + seringa dosadora</w:t>
            </w:r>
          </w:p>
        </w:tc>
        <w:tc>
          <w:tcPr>
            <w:tcW w:w="47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5011068-36.2024.8.21.0008</w:t>
            </w:r>
          </w:p>
        </w:tc>
      </w:tr>
      <w:tr w:rsidR="00F60E6C">
        <w:trPr>
          <w:trHeight w:val="315"/>
        </w:trPr>
        <w:tc>
          <w:tcPr>
            <w:tcW w:w="1207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7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620669</w:t>
            </w:r>
          </w:p>
        </w:tc>
        <w:tc>
          <w:tcPr>
            <w:tcW w:w="320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EXTRATO DE CANNABIS SATIVA 200 mg/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(CDB 50 </w:t>
            </w:r>
            <w:r>
              <w:rPr>
                <w:color w:val="000000"/>
                <w:sz w:val="20"/>
                <w:szCs w:val="20"/>
              </w:rPr>
              <w:lastRenderedPageBreak/>
              <w:t>mg/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+ THC 0,2% - PROMEDIOL) frasco 30 ml</w:t>
            </w:r>
          </w:p>
        </w:tc>
        <w:tc>
          <w:tcPr>
            <w:tcW w:w="47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5210577-66.2024.8.21.0001</w:t>
            </w:r>
          </w:p>
        </w:tc>
      </w:tr>
      <w:tr w:rsidR="00F60E6C">
        <w:trPr>
          <w:trHeight w:val="300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612576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canabidiol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200mg/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 xml:space="preserve"> solução oral frasco 30mL + seringa dosadora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5004291-40.2021.8.21.0008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5006028- 10.2023.8.21.0008/RS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5029346-22.2023.8.21.0008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5020851-86.2023.8.21.0008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5017184-63.2021.8.21.0008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50101348320218210008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5046743-94.2023.8.21.0008 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0085200000998-2 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5003210-51.2024.8.21.0008 </w:t>
            </w:r>
          </w:p>
        </w:tc>
      </w:tr>
      <w:tr w:rsidR="00F60E6C">
        <w:trPr>
          <w:trHeight w:val="2265"/>
        </w:trPr>
        <w:tc>
          <w:tcPr>
            <w:tcW w:w="1207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453826</w:t>
            </w:r>
          </w:p>
        </w:tc>
        <w:tc>
          <w:tcPr>
            <w:tcW w:w="32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canabidiol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20mg/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 xml:space="preserve"> solução oral frasco 30mL + seringa dosadora</w:t>
            </w: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5001636-61.2022.8.21.0008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5007102-02.2023.8.21.0008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5044295-51.2023.8.21.0008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5014700-70.2024.8.21.0008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503484113.2024.8.21.0008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5001874-61.2014.8.21.0008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5050237-64.2023.8.21.0008 </w:t>
            </w:r>
          </w:p>
        </w:tc>
      </w:tr>
    </w:tbl>
    <w:p w:rsidR="00F60E6C" w:rsidRDefault="004C29A0">
      <w:pPr>
        <w:keepLines w:val="0"/>
        <w:spacing w:before="200" w:line="360" w:lineRule="auto"/>
        <w:jc w:val="both"/>
        <w:rPr>
          <w:color w:val="000000"/>
          <w:sz w:val="20"/>
          <w:szCs w:val="20"/>
        </w:rPr>
      </w:pPr>
      <w:bookmarkStart w:id="1" w:name="_heading=h.c5j7b5s1mqnd" w:colFirst="0" w:colLast="0"/>
      <w:bookmarkEnd w:id="1"/>
      <w:r>
        <w:rPr>
          <w:b/>
          <w:sz w:val="20"/>
          <w:szCs w:val="20"/>
        </w:rPr>
        <w:t>*</w:t>
      </w:r>
      <w:r>
        <w:rPr>
          <w:color w:val="000000"/>
          <w:sz w:val="20"/>
          <w:szCs w:val="20"/>
        </w:rPr>
        <w:t xml:space="preserve"> O descritivo apontando marcas específicas em determinados medicamentos justifica-se pela necessidade de atendimento ao cumprimento de ordens judiciais.</w:t>
      </w: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Considerando que a quantidade é calculada conforme decisão judicial considerando acréscimo de 30% ao quantitativo</w:t>
      </w:r>
      <w:r>
        <w:rPr>
          <w:color w:val="000000"/>
          <w:sz w:val="20"/>
          <w:szCs w:val="20"/>
          <w:highlight w:val="white"/>
        </w:rPr>
        <w:t> considerando que poderá ocorrer alteração no tratamento deferido e/ou nova solicitação judicial.</w:t>
      </w: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Considerando que se trata de demanda judicial</w:t>
      </w:r>
      <w:r>
        <w:rPr>
          <w:color w:val="000000"/>
          <w:sz w:val="20"/>
          <w:szCs w:val="20"/>
        </w:rPr>
        <w:t>, o fornecimento poderá ser realizado através de bloqueio de valores (não sendo realizada dispensação pelo Município), através de fornecimento/dispensação pela Farmácia de Medicamentos Especiais (não sendo realizada dispensação pelo Município), podendo ain</w:t>
      </w:r>
      <w:r>
        <w:rPr>
          <w:color w:val="000000"/>
          <w:sz w:val="20"/>
          <w:szCs w:val="20"/>
        </w:rPr>
        <w:t>da ser novo mandado judicial (sem registro de dispensação no ano anterior), podendo o paciente ter alterado de tratamento e/ou não ter apresentado prescrição médica atualizada, desta forma, não sendo considerado o consumo em anos anteriores.</w:t>
      </w:r>
    </w:p>
    <w:p w:rsidR="00F60E6C" w:rsidRDefault="004C29A0">
      <w:pPr>
        <w:keepLines w:val="0"/>
        <w:spacing w:after="150"/>
        <w:ind w:firstLine="708"/>
        <w:jc w:val="both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Considerando a</w:t>
      </w:r>
      <w:r>
        <w:rPr>
          <w:color w:val="000000"/>
          <w:sz w:val="20"/>
          <w:szCs w:val="20"/>
        </w:rPr>
        <w:t xml:space="preserve"> necessidade de cumprimento de mandado na forma contínua, evitando assim a penalização do município por desobediência à Ordem Judicial. Solicitamos autorização para prosseguimento do registro de preço.</w:t>
      </w:r>
      <w:r>
        <w:rPr>
          <w:color w:val="333333"/>
          <w:sz w:val="20"/>
          <w:szCs w:val="20"/>
        </w:rPr>
        <w:t xml:space="preserve"> </w:t>
      </w:r>
    </w:p>
    <w:p w:rsidR="00F60E6C" w:rsidRDefault="004C29A0">
      <w:pPr>
        <w:keepLines w:val="0"/>
        <w:spacing w:after="150"/>
        <w:ind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4 - DESCRIÇÃO DOS REQUISITOS PARA A CONTRATAÇÃO:</w:t>
      </w:r>
    </w:p>
    <w:p w:rsidR="00F60E6C" w:rsidRPr="00F339D8" w:rsidRDefault="004C29A0">
      <w:pPr>
        <w:keepLines w:val="0"/>
        <w:spacing w:before="200"/>
        <w:ind w:firstLine="720"/>
        <w:jc w:val="both"/>
        <w:rPr>
          <w:color w:val="000000"/>
          <w:sz w:val="20"/>
          <w:szCs w:val="20"/>
        </w:rPr>
      </w:pPr>
      <w:r w:rsidRPr="00F339D8">
        <w:rPr>
          <w:color w:val="000000"/>
          <w:sz w:val="20"/>
          <w:szCs w:val="20"/>
        </w:rPr>
        <w:t>4.1.</w:t>
      </w:r>
      <w:r w:rsidRPr="00F339D8">
        <w:rPr>
          <w:color w:val="000000"/>
          <w:sz w:val="20"/>
          <w:szCs w:val="20"/>
        </w:rPr>
        <w:t xml:space="preserve"> A empresa a ser contratada deverá estar em conformidade com as normas técnicas e reguladoras relacionadas à área da Saúde. Este requisito inclui </w:t>
      </w:r>
      <w:bookmarkStart w:id="2" w:name="_GoBack"/>
      <w:bookmarkEnd w:id="2"/>
      <w:r w:rsidRPr="00F339D8">
        <w:rPr>
          <w:color w:val="000000"/>
          <w:sz w:val="20"/>
          <w:szCs w:val="20"/>
        </w:rPr>
        <w:t xml:space="preserve">a apresentação de registros na </w:t>
      </w:r>
      <w:r w:rsidRPr="00F339D8">
        <w:rPr>
          <w:color w:val="000000"/>
          <w:sz w:val="20"/>
          <w:szCs w:val="20"/>
        </w:rPr>
        <w:lastRenderedPageBreak/>
        <w:t xml:space="preserve">ANVISA, INMETRO e Vigilância Sanitária, garantindo a qualidade e segurança dos </w:t>
      </w:r>
      <w:r w:rsidRPr="00F339D8">
        <w:rPr>
          <w:color w:val="000000"/>
          <w:sz w:val="20"/>
          <w:szCs w:val="20"/>
        </w:rPr>
        <w:t>produtos a serem fornecidos;</w:t>
      </w:r>
    </w:p>
    <w:p w:rsidR="00F60E6C" w:rsidRPr="00F339D8" w:rsidRDefault="004C29A0">
      <w:pPr>
        <w:ind w:firstLine="720"/>
        <w:jc w:val="both"/>
        <w:rPr>
          <w:color w:val="000000"/>
          <w:sz w:val="20"/>
          <w:szCs w:val="20"/>
        </w:rPr>
      </w:pPr>
      <w:r w:rsidRPr="00F339D8">
        <w:rPr>
          <w:color w:val="000000"/>
          <w:sz w:val="20"/>
          <w:szCs w:val="20"/>
        </w:rPr>
        <w:t>4. 2. Comprovação de aptidão para o fornecimento em características, quantidades e prazos compatíveis com o objeto desta licitação, ou com o item pertinente, mediante a apresentação de atestado fornecido por pessoas jurídicas de direito público ou privado.</w:t>
      </w:r>
      <w:r w:rsidRPr="00F339D8">
        <w:rPr>
          <w:color w:val="000000"/>
          <w:sz w:val="20"/>
          <w:szCs w:val="20"/>
        </w:rPr>
        <w:t xml:space="preserve"> Os Atestados deverão referir-se a fornecimentos no âmbito de sua atividade econômica principal ou secundária especificadas no contrato social vigente.</w:t>
      </w:r>
    </w:p>
    <w:p w:rsidR="00F60E6C" w:rsidRPr="00F339D8" w:rsidRDefault="004C29A0">
      <w:pPr>
        <w:shd w:val="clear" w:color="auto" w:fill="FFFFFF"/>
        <w:spacing w:after="120"/>
        <w:ind w:firstLine="708"/>
        <w:jc w:val="both"/>
        <w:rPr>
          <w:color w:val="000000"/>
          <w:sz w:val="20"/>
          <w:szCs w:val="20"/>
        </w:rPr>
      </w:pPr>
      <w:r w:rsidRPr="00F339D8">
        <w:rPr>
          <w:color w:val="000000"/>
          <w:sz w:val="20"/>
          <w:szCs w:val="20"/>
        </w:rPr>
        <w:t>4.3. Comprovação da Autorização de Funcionamento – (Certidão e/ou da publicação do D.O.U.).</w:t>
      </w:r>
    </w:p>
    <w:p w:rsidR="00F60E6C" w:rsidRPr="00F339D8" w:rsidRDefault="004C29A0">
      <w:pPr>
        <w:shd w:val="clear" w:color="auto" w:fill="FFFFFF"/>
        <w:spacing w:after="120"/>
        <w:ind w:firstLine="708"/>
        <w:jc w:val="both"/>
        <w:rPr>
          <w:color w:val="000000"/>
          <w:sz w:val="20"/>
          <w:szCs w:val="20"/>
        </w:rPr>
      </w:pPr>
      <w:r w:rsidRPr="00F339D8">
        <w:rPr>
          <w:color w:val="000000"/>
          <w:sz w:val="20"/>
          <w:szCs w:val="20"/>
        </w:rPr>
        <w:t>4.4. As empr</w:t>
      </w:r>
      <w:r w:rsidRPr="00F339D8">
        <w:rPr>
          <w:color w:val="000000"/>
          <w:sz w:val="20"/>
          <w:szCs w:val="20"/>
        </w:rPr>
        <w:t>esas que cotarem medicamentos comuns deverão apresentar a AFE para medicamentos comuns e as empresas que cotarem medicamentos controlados deverão apresentar AFE para medicamentos especiais.</w:t>
      </w:r>
    </w:p>
    <w:p w:rsidR="00F60E6C" w:rsidRPr="00F339D8" w:rsidRDefault="004C29A0">
      <w:pPr>
        <w:shd w:val="clear" w:color="auto" w:fill="FFFFFF"/>
        <w:spacing w:after="120"/>
        <w:ind w:firstLine="708"/>
        <w:jc w:val="both"/>
        <w:rPr>
          <w:color w:val="000000"/>
          <w:sz w:val="20"/>
          <w:szCs w:val="20"/>
        </w:rPr>
      </w:pPr>
      <w:r w:rsidRPr="00F339D8">
        <w:rPr>
          <w:color w:val="000000"/>
          <w:sz w:val="20"/>
          <w:szCs w:val="20"/>
        </w:rPr>
        <w:t>4.5. Comprovante de Registro junto ao Conselho Regional de Farmáci</w:t>
      </w:r>
      <w:r w:rsidRPr="00F339D8">
        <w:rPr>
          <w:color w:val="000000"/>
          <w:sz w:val="20"/>
          <w:szCs w:val="20"/>
        </w:rPr>
        <w:t>a – CRF, da jurisdição a que pertence.</w:t>
      </w:r>
    </w:p>
    <w:p w:rsidR="00F339D8" w:rsidRPr="00F339D8" w:rsidRDefault="004C29A0">
      <w:pPr>
        <w:keepLines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sz w:val="20"/>
          <w:szCs w:val="20"/>
        </w:rPr>
      </w:pPr>
      <w:r w:rsidRPr="00F339D8">
        <w:rPr>
          <w:color w:val="000000"/>
          <w:sz w:val="20"/>
          <w:szCs w:val="20"/>
        </w:rPr>
        <w:t xml:space="preserve">4.6. </w:t>
      </w:r>
      <w:r w:rsidRPr="00F339D8">
        <w:rPr>
          <w:sz w:val="20"/>
          <w:szCs w:val="20"/>
        </w:rPr>
        <w:t xml:space="preserve">Comprovação </w:t>
      </w:r>
      <w:r w:rsidR="00F339D8" w:rsidRPr="00F339D8">
        <w:rPr>
          <w:color w:val="000000"/>
          <w:sz w:val="20"/>
          <w:szCs w:val="20"/>
        </w:rPr>
        <w:t>de Registro do Medicamento no Ministério da Saúde/ANVISA ou Número de Autorização Sanitária, se for o caso, (nos termos do que dispõe a RDC 327/2019 da referida agência reguladora. Publicado e com validade vigente, obtido por meio de consulta completa ao sítio eletrônico da ANVISA ou cópia da publicação do registro no D.O.U. e revalidações, se for o caso;</w:t>
      </w:r>
    </w:p>
    <w:p w:rsidR="00F60E6C" w:rsidRDefault="004C29A0">
      <w:pPr>
        <w:spacing w:before="280" w:after="28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4.7. Alvará Sanitário expedido por Órgão de Vigilância Sanitária competente federal, estadual ou municipa</w:t>
      </w:r>
      <w:r>
        <w:rPr>
          <w:color w:val="000000"/>
          <w:sz w:val="20"/>
          <w:szCs w:val="20"/>
        </w:rPr>
        <w:t>l, de acordo com a localização do estabelecimento do licitante.</w:t>
      </w:r>
    </w:p>
    <w:p w:rsidR="00F60E6C" w:rsidRDefault="004C29A0">
      <w:pPr>
        <w:keepLines w:val="0"/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4.8. Embora a apresentação de amostras não seja obrigatória para esta contratação, ressalta-se que o fornecimento estará condicionado ao processo de recebimento definitivo. Isso visa assegurar</w:t>
      </w:r>
      <w:r>
        <w:rPr>
          <w:color w:val="000000"/>
          <w:sz w:val="20"/>
          <w:szCs w:val="20"/>
        </w:rPr>
        <w:t xml:space="preserve"> a conformidade dos produtos entregues com as especificações contratadas, garantindo a plena satisfação e eficácia na utilização. </w:t>
      </w:r>
    </w:p>
    <w:p w:rsidR="00F60E6C" w:rsidRDefault="004C29A0">
      <w:pPr>
        <w:keepLines w:val="0"/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4.9. Dado o caráter de Registro de Preços, a empresa contratada deve estar preparada para fornecer os itens de forma fraciona</w:t>
      </w:r>
      <w:r>
        <w:rPr>
          <w:color w:val="000000"/>
          <w:sz w:val="20"/>
          <w:szCs w:val="20"/>
        </w:rPr>
        <w:t>da ao longo dos doze meses. Além disso, destaca-se que, de acordo com o artigo 84 da Lei 14.133/2021, há a possibilidade de prorrogação do contrato por igual período. A flexibilidade no fornecimento contribui para a gestão eficiente dos recursos e atende à</w:t>
      </w:r>
      <w:r>
        <w:rPr>
          <w:color w:val="000000"/>
          <w:sz w:val="20"/>
          <w:szCs w:val="20"/>
        </w:rPr>
        <w:t>s demandas dinâmicas da administração pública.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4.10. É fundamental que sejam atentamente considerados os requisitos ambientais necessários para obter a certificação do Instituto Nacional de Metrologia, Normalização e Qualidade Industrial (INMETRO), assegur</w:t>
      </w:r>
      <w:r>
        <w:rPr>
          <w:color w:val="000000"/>
          <w:sz w:val="20"/>
          <w:szCs w:val="20"/>
        </w:rPr>
        <w:t>ando que os produtos sejam reconhecidos como sustentáveis ou de menor impacto ambiental em comparação com seus equivalentes.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4.11. Que os produtos sejam, preferencialmente, embalados individualmente de maneira apropriada, com o menor volume possível, utili</w:t>
      </w:r>
      <w:r>
        <w:rPr>
          <w:color w:val="000000"/>
          <w:sz w:val="20"/>
          <w:szCs w:val="20"/>
        </w:rPr>
        <w:t xml:space="preserve">zando materiais recicláveis e/ou que sejam recicláveis. Este cuidado visa garantir máxima proteção durante o transporte e armazenamento dos bens. </w:t>
      </w:r>
    </w:p>
    <w:p w:rsidR="00F60E6C" w:rsidRDefault="004C29A0">
      <w:pPr>
        <w:keepLines w:val="0"/>
        <w:pBdr>
          <w:top w:val="nil"/>
          <w:left w:val="nil"/>
          <w:bottom w:val="nil"/>
          <w:right w:val="nil"/>
          <w:between w:val="nil"/>
        </w:pBdr>
        <w:spacing w:before="280" w:after="142"/>
        <w:ind w:firstLine="72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4.12. Não serã</w:t>
      </w:r>
      <w:r>
        <w:rPr>
          <w:sz w:val="20"/>
          <w:szCs w:val="20"/>
        </w:rPr>
        <w:t xml:space="preserve">o aceitos medicamentos manipulados em substituição aos industrializados, conforme regulamento técnico que institui as Boas Práticas de Manipulação em Farmácias (RDC nº 67/2007 e atualizações); 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4.13. O prazo de entrega, do objeto licitado deverá ser de até</w:t>
      </w:r>
      <w:r>
        <w:rPr>
          <w:color w:val="000000"/>
          <w:sz w:val="20"/>
          <w:szCs w:val="20"/>
        </w:rPr>
        <w:t xml:space="preserve"> 10 (dez) dias corridos, a contar do recebimento da Nota de Empenho.</w:t>
      </w:r>
    </w:p>
    <w:p w:rsidR="00844AE6" w:rsidRDefault="004C29A0" w:rsidP="00844AE6">
      <w:pPr>
        <w:keepLines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4.14. </w:t>
      </w:r>
      <w:r w:rsidR="00844AE6">
        <w:rPr>
          <w:color w:val="000000"/>
          <w:sz w:val="20"/>
          <w:szCs w:val="20"/>
        </w:rPr>
        <w:t>Os produtos deverão ser entregues, conforme as necessidades da Secretaria requisitante no Setor</w:t>
      </w:r>
      <w:r w:rsidR="00844AE6">
        <w:rPr>
          <w:sz w:val="20"/>
          <w:szCs w:val="20"/>
          <w:shd w:val="clear" w:color="auto" w:fill="FFFFFF"/>
        </w:rPr>
        <w:t xml:space="preserve"> de Farmácia Ordem Judicial, Av. Santos Ferreira, 1655, bairro Marechal Rondon, no horário das 8h às 11h30min de segunda a sexta-feira, em dias úteis</w:t>
      </w:r>
      <w:r w:rsidR="00844AE6">
        <w:rPr>
          <w:sz w:val="20"/>
          <w:szCs w:val="20"/>
        </w:rPr>
        <w:t xml:space="preserve"> (2º andar - entrada pela porta lateral do corredor de acesso à Farmácia Solidária);</w:t>
      </w:r>
    </w:p>
    <w:p w:rsidR="00844AE6" w:rsidRDefault="00844AE6" w:rsidP="00844AE6">
      <w:pPr>
        <w:keepLines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0"/>
          <w:szCs w:val="20"/>
        </w:rPr>
      </w:pPr>
    </w:p>
    <w:p w:rsidR="00F60E6C" w:rsidRDefault="004C29A0" w:rsidP="00844AE6">
      <w:pPr>
        <w:keepLines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5 - LEVANTAMENTO DE MERCADO: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análise de mercado revela a presença significativa de diversas empresas especializadas. Diante desse cenário, optou-se por implementar um Registro</w:t>
      </w:r>
      <w:r>
        <w:rPr>
          <w:color w:val="000000"/>
          <w:sz w:val="20"/>
          <w:szCs w:val="20"/>
        </w:rPr>
        <w:t xml:space="preserve"> de Preços estruturado em itens, proporcionando a oportunidade de participação a diferentes segmentos empresariais. Além disso, a escolha pelo Sistema de Registro de Preços demonstra ser uma solução financeiramente vantajosa para o município. 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divisão em</w:t>
      </w:r>
      <w:r>
        <w:rPr>
          <w:color w:val="000000"/>
          <w:sz w:val="20"/>
          <w:szCs w:val="20"/>
        </w:rPr>
        <w:t xml:space="preserve"> itens visa a inclusão de empresas especializadas em diferentes nichos, fomentando a concorrência e garantindo uma gama abrangente de opções. Essa abordagem não apenas diversifica as fontes de fornecimento, mas também promove a inclusão de empresas de vari</w:t>
      </w:r>
      <w:r>
        <w:rPr>
          <w:color w:val="000000"/>
          <w:sz w:val="20"/>
          <w:szCs w:val="20"/>
        </w:rPr>
        <w:t>ados portes, fortalecendo a participação local. O Sistema de Registro de Preços emerge como uma alternativa econômica, especialmente considerando a natureza recorrente da substituição desses materiais. A sua implementação minimiza a necessidade de conduzir</w:t>
      </w:r>
      <w:r>
        <w:rPr>
          <w:color w:val="000000"/>
          <w:sz w:val="20"/>
          <w:szCs w:val="20"/>
        </w:rPr>
        <w:t xml:space="preserve"> múltiplos processos licitatórios, otimizando recursos e agilizando a obtenção dos materiais essenciais para os serviços de saúde municipais. Assim, o Registro de Preços em itens e o uso do Sistema de Registro de Preços não apenas simplificam o processo de</w:t>
      </w:r>
      <w:r>
        <w:rPr>
          <w:color w:val="000000"/>
          <w:sz w:val="20"/>
          <w:szCs w:val="20"/>
        </w:rPr>
        <w:t xml:space="preserve"> aquisição, mas também refletem uma abordagem eficiente e economicamente sustentável para a gestão pública. </w:t>
      </w: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6 - DESCRIÇÃO DA SOLUÇÃO COMO UM TODO:</w:t>
      </w:r>
    </w:p>
    <w:p w:rsidR="00F60E6C" w:rsidRDefault="004C29A0">
      <w:pPr>
        <w:keepLines w:val="0"/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Por se tratar de um Registro de Preços para aquisição de </w:t>
      </w:r>
      <w:proofErr w:type="spellStart"/>
      <w:r>
        <w:rPr>
          <w:color w:val="000000"/>
          <w:sz w:val="20"/>
          <w:szCs w:val="20"/>
        </w:rPr>
        <w:t>canabidiol</w:t>
      </w:r>
      <w:proofErr w:type="spellEnd"/>
      <w:r>
        <w:rPr>
          <w:color w:val="000000"/>
          <w:sz w:val="20"/>
          <w:szCs w:val="20"/>
        </w:rPr>
        <w:t>, distribuídos em diferentes itens, compr</w:t>
      </w:r>
      <w:r>
        <w:rPr>
          <w:color w:val="000000"/>
          <w:sz w:val="20"/>
          <w:szCs w:val="20"/>
        </w:rPr>
        <w:t xml:space="preserve">eende-se que a combinação abrangente desses itens atende, às demandas que motivaram a atual contratação. </w:t>
      </w: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7 - ESTIMATIVA DAS QUANTIDADES A SEREM CONTRATADAS:</w:t>
      </w:r>
    </w:p>
    <w:p w:rsidR="00F60E6C" w:rsidRDefault="004C29A0">
      <w:pPr>
        <w:keepLines w:val="0"/>
        <w:spacing w:after="150"/>
        <w:ind w:firstLine="708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Considerando que a quantidade é calculada conforme decisão judicial considerando acréscimo de 30% </w:t>
      </w:r>
      <w:r>
        <w:rPr>
          <w:color w:val="333333"/>
          <w:sz w:val="20"/>
          <w:szCs w:val="20"/>
        </w:rPr>
        <w:t>ao quantitativo</w:t>
      </w:r>
      <w:r>
        <w:rPr>
          <w:color w:val="333333"/>
          <w:sz w:val="20"/>
          <w:szCs w:val="20"/>
          <w:highlight w:val="white"/>
        </w:rPr>
        <w:t> considerando que poderá ocorrer alteração no tratamento deferido e/ou nova solicitação judicial.</w:t>
      </w:r>
    </w:p>
    <w:p w:rsidR="00F60E6C" w:rsidRDefault="004C29A0">
      <w:pPr>
        <w:keepLines w:val="0"/>
        <w:spacing w:after="150"/>
        <w:ind w:firstLine="708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Considerando que se trata de demanda judicial, o fornecimento poderá ser realizado através de bloqueio de valores (não sendo realizada dispensa</w:t>
      </w:r>
      <w:r>
        <w:rPr>
          <w:color w:val="333333"/>
          <w:sz w:val="20"/>
          <w:szCs w:val="20"/>
        </w:rPr>
        <w:t>ção pelo Município), através de fornecimento/dispensação pela Farmácia de Medicamentos Especiais (não sendo realizada dispensação pelo Município), podendo ainda ser novo mandado judicial (sem registro de dispensação no ano anterior), podendo o paciente ter</w:t>
      </w:r>
      <w:r>
        <w:rPr>
          <w:color w:val="333333"/>
          <w:sz w:val="20"/>
          <w:szCs w:val="20"/>
        </w:rPr>
        <w:t xml:space="preserve"> alterado de tratamento e/ou não ter apresentado prescrição médica atualizada, desta forma, não sendo considerado o consumo em anos anteriores.</w:t>
      </w:r>
    </w:p>
    <w:p w:rsidR="00F60E6C" w:rsidRDefault="004C29A0">
      <w:pPr>
        <w:keepLines w:val="0"/>
        <w:spacing w:after="15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Considerando solicitação de item com descrição de marca específica, justificamos que se trata de cumprimento de decisão judicial. </w:t>
      </w:r>
    </w:p>
    <w:p w:rsidR="00F60E6C" w:rsidRDefault="004C29A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quantitativos estimados para esta contratação foram determinados com base nas decisões judiciais, conforme segue:</w:t>
      </w:r>
    </w:p>
    <w:tbl>
      <w:tblPr>
        <w:tblStyle w:val="a3"/>
        <w:tblpPr w:leftFromText="141" w:rightFromText="141" w:vertAnchor="text" w:tblpY="269"/>
        <w:tblW w:w="11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07"/>
        <w:gridCol w:w="2175"/>
        <w:gridCol w:w="3204"/>
        <w:gridCol w:w="4797"/>
      </w:tblGrid>
      <w:tr w:rsidR="00F60E6C">
        <w:trPr>
          <w:trHeight w:val="315"/>
        </w:trPr>
        <w:tc>
          <w:tcPr>
            <w:tcW w:w="1207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quantida</w:t>
            </w:r>
            <w:r>
              <w:rPr>
                <w:b/>
                <w:color w:val="000000"/>
                <w:sz w:val="20"/>
                <w:szCs w:val="20"/>
              </w:rPr>
              <w:t>de</w:t>
            </w:r>
            <w:proofErr w:type="gramEnd"/>
          </w:p>
        </w:tc>
        <w:tc>
          <w:tcPr>
            <w:tcW w:w="217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CATMAT</w:t>
            </w:r>
          </w:p>
        </w:tc>
        <w:tc>
          <w:tcPr>
            <w:tcW w:w="320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item</w:t>
            </w:r>
            <w:proofErr w:type="gramEnd"/>
          </w:p>
        </w:tc>
        <w:tc>
          <w:tcPr>
            <w:tcW w:w="47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333333"/>
                <w:sz w:val="20"/>
                <w:szCs w:val="20"/>
              </w:rPr>
            </w:pPr>
            <w:proofErr w:type="gramStart"/>
            <w:r>
              <w:rPr>
                <w:b/>
                <w:color w:val="333333"/>
                <w:sz w:val="20"/>
                <w:szCs w:val="20"/>
              </w:rPr>
              <w:t>número</w:t>
            </w:r>
            <w:proofErr w:type="gramEnd"/>
            <w:r>
              <w:rPr>
                <w:b/>
                <w:color w:val="333333"/>
                <w:sz w:val="20"/>
                <w:szCs w:val="20"/>
              </w:rPr>
              <w:t xml:space="preserve"> da ordem judicial</w:t>
            </w:r>
          </w:p>
        </w:tc>
      </w:tr>
      <w:tr w:rsidR="00F60E6C">
        <w:trPr>
          <w:trHeight w:val="315"/>
        </w:trPr>
        <w:tc>
          <w:tcPr>
            <w:tcW w:w="1207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7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620704</w:t>
            </w:r>
          </w:p>
        </w:tc>
        <w:tc>
          <w:tcPr>
            <w:tcW w:w="320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canabidiol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50mg/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solução oral (PRATI DONADUZZI) frasco 30mL + seringa dosadora</w:t>
            </w:r>
          </w:p>
        </w:tc>
        <w:tc>
          <w:tcPr>
            <w:tcW w:w="47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5011068-36.2024.8.21.0008</w:t>
            </w:r>
          </w:p>
        </w:tc>
      </w:tr>
      <w:tr w:rsidR="00F60E6C">
        <w:trPr>
          <w:trHeight w:val="315"/>
        </w:trPr>
        <w:tc>
          <w:tcPr>
            <w:tcW w:w="1207" w:type="dxa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7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620669</w:t>
            </w:r>
          </w:p>
        </w:tc>
        <w:tc>
          <w:tcPr>
            <w:tcW w:w="320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EXTRATO DE CANNABIS SATIVA 200 mg/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(CDB 50 mg/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+ THC 0,2% - PROMEDIOL) frasco 30 ml</w:t>
            </w:r>
          </w:p>
        </w:tc>
        <w:tc>
          <w:tcPr>
            <w:tcW w:w="479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5210577-66.2024.8.21.0001</w:t>
            </w:r>
          </w:p>
        </w:tc>
      </w:tr>
      <w:tr w:rsidR="00F60E6C">
        <w:trPr>
          <w:trHeight w:val="300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612576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canabidiol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200mg/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 xml:space="preserve"> solução oral frasco 30mL + seringa dosadora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5004291-40.2021.8.21.0008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5006028- 10.2023.8.21.0008/RS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5029346-22.2023.8.21.0008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5020851-86.2023.8.21.0008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5017184-63.2021.8.21.0008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50101348320218210008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5046743-94.2023.8.21.0008 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0085200000998-2 </w:t>
            </w:r>
          </w:p>
        </w:tc>
      </w:tr>
      <w:tr w:rsidR="00F60E6C">
        <w:trPr>
          <w:trHeight w:val="300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5003210-51.2024.8.21.0008 </w:t>
            </w:r>
          </w:p>
        </w:tc>
      </w:tr>
      <w:tr w:rsidR="00F60E6C">
        <w:trPr>
          <w:trHeight w:val="2265"/>
        </w:trPr>
        <w:tc>
          <w:tcPr>
            <w:tcW w:w="1207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453826</w:t>
            </w:r>
          </w:p>
        </w:tc>
        <w:tc>
          <w:tcPr>
            <w:tcW w:w="3204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canabidiol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20mg/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 xml:space="preserve"> solução oral frasco 30mL + seringa dosadora</w:t>
            </w: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5001636-61.2022.8.21.0008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5007102-02.2023.8.21.0008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5044295-51.2023.8.21.0008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5014700-70.2024.8.21.0008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503484113.2024.8.21.0008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5001874-61.2014.8.21.0008 </w:t>
            </w:r>
          </w:p>
        </w:tc>
      </w:tr>
      <w:tr w:rsidR="00F60E6C">
        <w:trPr>
          <w:trHeight w:val="315"/>
        </w:trPr>
        <w:tc>
          <w:tcPr>
            <w:tcW w:w="1207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center"/>
          </w:tcPr>
          <w:p w:rsidR="00F60E6C" w:rsidRDefault="00F60E6C">
            <w:pPr>
              <w:keepLines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0E6C" w:rsidRDefault="004C29A0">
            <w:pPr>
              <w:keepLines w:val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5050237-64.2023.8.21.0008 </w:t>
            </w:r>
          </w:p>
        </w:tc>
      </w:tr>
    </w:tbl>
    <w:p w:rsidR="00F60E6C" w:rsidRDefault="00F60E6C">
      <w:pPr>
        <w:spacing w:before="200"/>
        <w:ind w:firstLine="720"/>
        <w:jc w:val="both"/>
        <w:rPr>
          <w:color w:val="000000"/>
          <w:sz w:val="20"/>
          <w:szCs w:val="20"/>
        </w:rPr>
      </w:pPr>
    </w:p>
    <w:p w:rsidR="00F60E6C" w:rsidRDefault="004C29A0">
      <w:pPr>
        <w:spacing w:before="200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8 - ESTIMATIVA DO VALOR DA CONTRATAÇÃO:</w:t>
      </w:r>
    </w:p>
    <w:p w:rsidR="00F60E6C" w:rsidRDefault="004C29A0">
      <w:pPr>
        <w:keepLines w:val="0"/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rFonts w:ascii="Calibri" w:eastAsia="Calibri" w:hAnsi="Calibri" w:cs="Calibri"/>
        </w:rPr>
        <w:t xml:space="preserve">Os valores abaixo estimados foram coletados pelo setor responsável (SMS/DA/UAAC), conforme planilha de preços, anexo </w:t>
      </w:r>
      <w:r>
        <w:rPr>
          <w:rFonts w:ascii="Calibri" w:eastAsia="Calibri" w:hAnsi="Calibri" w:cs="Calibri"/>
          <w:i/>
        </w:rPr>
        <w:t>2084774</w:t>
      </w:r>
      <w:r>
        <w:rPr>
          <w:rFonts w:ascii="Calibri" w:eastAsia="Calibri" w:hAnsi="Calibri" w:cs="Calibri"/>
        </w:rPr>
        <w:t xml:space="preserve">: </w:t>
      </w:r>
    </w:p>
    <w:sdt>
      <w:sdtPr>
        <w:tag w:val="goog_rdk_0"/>
        <w:id w:val="-1544639853"/>
        <w:lock w:val="contentLocked"/>
      </w:sdtPr>
      <w:sdtEndPr/>
      <w:sdtContent>
        <w:tbl>
          <w:tblPr>
            <w:tblStyle w:val="a4"/>
            <w:tblW w:w="900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30"/>
            <w:gridCol w:w="1080"/>
            <w:gridCol w:w="3090"/>
            <w:gridCol w:w="1800"/>
            <w:gridCol w:w="1800"/>
          </w:tblGrid>
          <w:tr w:rsidR="00F60E6C">
            <w:tc>
              <w:tcPr>
                <w:tcW w:w="12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60E6C" w:rsidRDefault="004C29A0">
                <w:pPr>
                  <w:keepLines w:val="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</w:rPr>
                  <w:t>Quant.</w:t>
                </w:r>
              </w:p>
            </w:tc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60E6C" w:rsidRDefault="004C29A0">
                <w:pPr>
                  <w:keepLines w:val="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</w:rPr>
                  <w:t>CATMAT</w:t>
                </w:r>
              </w:p>
            </w:tc>
            <w:tc>
              <w:tcPr>
                <w:tcW w:w="30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60E6C" w:rsidRDefault="004C29A0">
                <w:pPr>
                  <w:keepLines w:val="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</w:rPr>
                  <w:t>Item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60E6C" w:rsidRDefault="004C29A0">
                <w:pPr>
                  <w:keepLines w:val="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</w:rPr>
                  <w:t>Valor unitário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60E6C" w:rsidRDefault="004C29A0">
                <w:pPr>
                  <w:keepLines w:val="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b/>
                    <w:color w:val="000000"/>
                    <w:sz w:val="20"/>
                    <w:szCs w:val="20"/>
                  </w:rPr>
                  <w:t>Valor Total</w:t>
                </w:r>
              </w:p>
            </w:tc>
          </w:tr>
          <w:tr w:rsidR="00F60E6C">
            <w:tc>
              <w:tcPr>
                <w:tcW w:w="1230" w:type="dxa"/>
                <w:tcBorders>
                  <w:top w:val="single" w:sz="8" w:space="0" w:color="000001"/>
                  <w:left w:val="single" w:sz="8" w:space="0" w:color="000001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000000"/>
                    <w:sz w:val="20"/>
                    <w:szCs w:val="20"/>
                  </w:rPr>
                  <w:t>60</w:t>
                </w:r>
              </w:p>
            </w:tc>
            <w:tc>
              <w:tcPr>
                <w:tcW w:w="108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000000"/>
                    <w:sz w:val="20"/>
                    <w:szCs w:val="20"/>
                  </w:rPr>
                  <w:t>620704</w:t>
                </w:r>
              </w:p>
            </w:tc>
            <w:tc>
              <w:tcPr>
                <w:tcW w:w="309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000000"/>
                    <w:sz w:val="20"/>
                    <w:szCs w:val="20"/>
                  </w:rPr>
                  <w:t>canabidiol 50mg/mL solução oral (PRATI DONADUZZI) frasco 30mL + seringa dosadora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60E6C" w:rsidRDefault="004C29A0">
                <w:pPr>
                  <w:keepLines w:val="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R$ 970,00</w:t>
                </w:r>
              </w:p>
            </w:tc>
            <w:tc>
              <w:tcPr>
                <w:tcW w:w="18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60E6C" w:rsidRDefault="004C29A0">
                <w:pPr>
                  <w:keepLines w:val="0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R$ 485.000,00</w:t>
                </w:r>
              </w:p>
            </w:tc>
          </w:tr>
          <w:tr w:rsidR="00F60E6C">
            <w:tc>
              <w:tcPr>
                <w:tcW w:w="1230" w:type="dxa"/>
                <w:tcBorders>
                  <w:top w:val="single" w:sz="8" w:space="0" w:color="000001"/>
                  <w:left w:val="single" w:sz="8" w:space="0" w:color="000001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000000"/>
                    <w:sz w:val="20"/>
                    <w:szCs w:val="20"/>
                  </w:rPr>
                  <w:t>100</w:t>
                </w:r>
              </w:p>
            </w:tc>
            <w:tc>
              <w:tcPr>
                <w:tcW w:w="108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b/>
                    <w:color w:val="000000"/>
                    <w:sz w:val="20"/>
                    <w:szCs w:val="20"/>
                  </w:rPr>
                </w:pPr>
                <w:r>
                  <w:rPr>
                    <w:color w:val="000000"/>
                    <w:sz w:val="20"/>
                    <w:szCs w:val="20"/>
                  </w:rPr>
                  <w:t>620669</w:t>
                </w:r>
              </w:p>
            </w:tc>
            <w:tc>
              <w:tcPr>
                <w:tcW w:w="309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000000"/>
                    <w:sz w:val="20"/>
                    <w:szCs w:val="20"/>
                  </w:rPr>
                  <w:t>EXTRATO DE CANNABIS SATIVA 200 mg/mL (CDB 50 mg/mL + THC 0,2% - PROMEDIOL) frasco 30 ml</w:t>
                </w:r>
              </w:p>
            </w:tc>
            <w:tc>
              <w:tcPr>
                <w:tcW w:w="18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R$ 500,48</w:t>
                </w:r>
              </w:p>
            </w:tc>
            <w:tc>
              <w:tcPr>
                <w:tcW w:w="1800" w:type="dxa"/>
                <w:tcBorders>
                  <w:top w:val="single" w:sz="6" w:space="0" w:color="000000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R$ 30.028,80</w:t>
                </w:r>
              </w:p>
            </w:tc>
          </w:tr>
          <w:tr w:rsidR="00F60E6C">
            <w:tc>
              <w:tcPr>
                <w:tcW w:w="1230" w:type="dxa"/>
                <w:tcBorders>
                  <w:top w:val="single" w:sz="8" w:space="0" w:color="000001"/>
                  <w:left w:val="single" w:sz="8" w:space="0" w:color="000001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500</w:t>
                </w:r>
              </w:p>
            </w:tc>
            <w:tc>
              <w:tcPr>
                <w:tcW w:w="108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612576</w:t>
                </w:r>
              </w:p>
            </w:tc>
            <w:tc>
              <w:tcPr>
                <w:tcW w:w="309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canabidiol 200mg/mL solução oral frasco 30mL + seringa dosadora</w:t>
                </w:r>
              </w:p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R$ 833,16</w:t>
                </w:r>
              </w:p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R$ 83.316,00</w:t>
                </w:r>
              </w:p>
            </w:tc>
          </w:tr>
          <w:tr w:rsidR="00F60E6C">
            <w:tc>
              <w:tcPr>
                <w:tcW w:w="1230" w:type="dxa"/>
                <w:tcBorders>
                  <w:top w:val="single" w:sz="8" w:space="0" w:color="000001"/>
                  <w:left w:val="single" w:sz="8" w:space="0" w:color="000001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600</w:t>
                </w:r>
              </w:p>
            </w:tc>
            <w:tc>
              <w:tcPr>
                <w:tcW w:w="108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453826</w:t>
                </w:r>
              </w:p>
            </w:tc>
            <w:tc>
              <w:tcPr>
                <w:tcW w:w="3090" w:type="dxa"/>
                <w:tcBorders>
                  <w:top w:val="single" w:sz="8" w:space="0" w:color="000001"/>
                  <w:left w:val="nil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4C29A0">
                <w:pPr>
                  <w:keepLines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canabidiol 20mg/mL solução oral frasco 30mL + seringa dosadora</w:t>
                </w:r>
              </w:p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R$ 232,21</w:t>
                </w:r>
              </w:p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R$ 139.326,00</w:t>
                </w:r>
              </w:p>
            </w:tc>
          </w:tr>
          <w:tr w:rsidR="00F60E6C">
            <w:trPr>
              <w:trHeight w:val="400"/>
            </w:trPr>
            <w:tc>
              <w:tcPr>
                <w:tcW w:w="5400" w:type="dxa"/>
                <w:gridSpan w:val="3"/>
                <w:tcBorders>
                  <w:top w:val="single" w:sz="8" w:space="0" w:color="000001"/>
                  <w:left w:val="single" w:sz="8" w:space="0" w:color="000001"/>
                  <w:bottom w:val="nil"/>
                  <w:right w:val="single" w:sz="8" w:space="0" w:color="000001"/>
                </w:tcBorders>
                <w:shd w:val="clear" w:color="auto" w:fill="FFFFFF"/>
                <w:vAlign w:val="center"/>
              </w:tcPr>
              <w:p w:rsidR="00F60E6C" w:rsidRDefault="00F60E6C">
                <w:pPr>
                  <w:keepLines w:val="0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Valor total</w:t>
                </w:r>
              </w:p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F60E6C" w:rsidRDefault="004C29A0">
                <w:pPr>
                  <w:keepLines w:val="0"/>
                  <w:widowControl w:val="0"/>
                  <w:spacing w:line="276" w:lineRule="auto"/>
                  <w:jc w:val="center"/>
                  <w:rPr>
                    <w:rFonts w:ascii="Calibri" w:eastAsia="Calibri" w:hAnsi="Calibri" w:cs="Calibri"/>
                    <w:b/>
                    <w:color w:val="000000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R$ 737.670,80</w:t>
                </w:r>
              </w:p>
            </w:tc>
          </w:tr>
        </w:tbl>
      </w:sdtContent>
    </w:sdt>
    <w:p w:rsidR="00F60E6C" w:rsidRDefault="00F60E6C">
      <w:pPr>
        <w:keepLines w:val="0"/>
        <w:spacing w:before="200"/>
        <w:ind w:firstLine="720"/>
        <w:jc w:val="both"/>
        <w:rPr>
          <w:i/>
          <w:color w:val="000000"/>
          <w:sz w:val="20"/>
          <w:szCs w:val="20"/>
        </w:rPr>
      </w:pP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9 - JUSTIFICATIVA PARA PARCELAMENTO OU NÃO DA SOLUÇÃO: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decisão de dividir a presente contratação em itens foi estrategicamente tomada, considerando a natureza dos itens envolvidos, os quais compartilham características semelhantes. Esta opção de parcelam</w:t>
      </w:r>
      <w:r>
        <w:rPr>
          <w:color w:val="000000"/>
          <w:sz w:val="20"/>
          <w:szCs w:val="20"/>
        </w:rPr>
        <w:t>ento se fundamenta na complexidade e na alta especialização dos produtos a serem adquiridos.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escolha pelo parcelamento em itens surge como uma medida que visa otimizar a participação de empresas especializadas em cada segmento específico. Ao fazê-lo, pro</w:t>
      </w:r>
      <w:r>
        <w:rPr>
          <w:color w:val="000000"/>
          <w:sz w:val="20"/>
          <w:szCs w:val="20"/>
        </w:rPr>
        <w:t xml:space="preserve">porcionamos um ambiente competitivo mais dinâmico e favorecemos a obtenção de propostas mais especializadas e alinhadas com as demandas particulares de cada categoria de equipamento. 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segmentar a contratação dessa maneira, esperamos promover uma competi</w:t>
      </w:r>
      <w:r>
        <w:rPr>
          <w:color w:val="000000"/>
          <w:sz w:val="20"/>
          <w:szCs w:val="20"/>
        </w:rPr>
        <w:t xml:space="preserve">ção mais equitativa, estimulando a participação de empresas que possuam expertise específica em determinadas áreas. Dessa forma, almejamos garantir a qualidade técnica e operacional de cada item, contribuindo para a excelência e eficácia global da solução </w:t>
      </w:r>
      <w:r>
        <w:rPr>
          <w:color w:val="000000"/>
          <w:sz w:val="20"/>
          <w:szCs w:val="20"/>
        </w:rPr>
        <w:t xml:space="preserve">a ser adotada. 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Esta estratégia de parcelamento visa, assim, atender de maneira mais precisa às exigências técnicas e operacionais inerentes aos equipamentos hospitalares e ambulatoriais, promovendo uma contratação mais alinhada com as necessidades específ</w:t>
      </w:r>
      <w:r>
        <w:rPr>
          <w:color w:val="000000"/>
          <w:sz w:val="20"/>
          <w:szCs w:val="20"/>
        </w:rPr>
        <w:t xml:space="preserve">icas de cada componente, além de fomentar a competitividade e a excelência na execução do contrato. </w:t>
      </w: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10 - CONTRATAÇÕES CORRELATAS/INTERDEPENDENTES:</w:t>
      </w:r>
    </w:p>
    <w:p w:rsidR="00F60E6C" w:rsidRDefault="004C29A0">
      <w:pPr>
        <w:keepLines w:val="0"/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Registro de preço vigente: edital 82/2024 – vigência:11/10/2025.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11 - DEMONSTRATIVO DA PREVISÃO DA CONTRATAÇÃO NO PLANO ANUAL DE CONTRATAÇÃO – PAC: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presente aquisição está alinhada aos objetivos estratégicos da Secretaria Municipal de Saúde, assegurando cumprimento de determinação judicial. Essa iniciativa reforça o c</w:t>
      </w:r>
      <w:r>
        <w:rPr>
          <w:color w:val="000000"/>
          <w:sz w:val="20"/>
          <w:szCs w:val="20"/>
        </w:rPr>
        <w:t xml:space="preserve">ompromisso com a qualidade e eficiência dos serviços prestados, bem como com a adequada infraestrutura necessária para atender às demandas da comunidade. </w:t>
      </w:r>
    </w:p>
    <w:p w:rsidR="00F60E6C" w:rsidRDefault="004C29A0">
      <w:pPr>
        <w:spacing w:before="200"/>
        <w:ind w:firstLine="72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Adicionalmente, é importante destacar que a contratação está plenamente alinhada com o orçamento prev</w:t>
      </w:r>
      <w:r>
        <w:rPr>
          <w:color w:val="000000"/>
          <w:sz w:val="20"/>
          <w:szCs w:val="20"/>
        </w:rPr>
        <w:t>iamente estabelecido e o Plano Anual de Contratações da Secretaria Municipal de Saúde. Essa coerência entre os objetivos, recursos financeiros disponíveis e planejamento estratégico reforça a responsabilidade fiscal e a efetividade na execução das ações pr</w:t>
      </w:r>
      <w:r>
        <w:rPr>
          <w:color w:val="000000"/>
          <w:sz w:val="20"/>
          <w:szCs w:val="20"/>
        </w:rPr>
        <w:t>opostas.</w:t>
      </w:r>
      <w:r>
        <w:rPr>
          <w:i/>
          <w:color w:val="000000"/>
          <w:sz w:val="20"/>
          <w:szCs w:val="20"/>
        </w:rPr>
        <w:t xml:space="preserve"> 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12 - DEMONSTRAÇÃO DOS RESULTADOS PRETENDIDOS:</w:t>
      </w:r>
    </w:p>
    <w:p w:rsidR="00F60E6C" w:rsidRDefault="004C29A0">
      <w:pPr>
        <w:keepLines w:val="0"/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 esta contratação, pretende-se viabilizar a aquisição de </w:t>
      </w:r>
      <w:proofErr w:type="spellStart"/>
      <w:r>
        <w:rPr>
          <w:color w:val="000000"/>
          <w:sz w:val="20"/>
          <w:szCs w:val="20"/>
        </w:rPr>
        <w:t>canabidiol</w:t>
      </w:r>
      <w:proofErr w:type="spellEnd"/>
      <w:r>
        <w:rPr>
          <w:color w:val="000000"/>
          <w:sz w:val="20"/>
          <w:szCs w:val="20"/>
        </w:rPr>
        <w:t xml:space="preserve"> para cumprimento de decisão judicial. Buscamos não apenas obter o melhor preço, mas também atender de maneira abrangente às neces</w:t>
      </w:r>
      <w:r>
        <w:rPr>
          <w:color w:val="000000"/>
          <w:sz w:val="20"/>
          <w:szCs w:val="20"/>
        </w:rPr>
        <w:t xml:space="preserve">sidades dos requisitantes, visando assim aprimorar e qualificar o sistema de saúde do município. </w:t>
      </w: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13 - PROVIDÊNCIAS PRÉVIAS AO CONTRATO: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Não há providências prévias ao contrato para serem adotadas. Por se tratar de sistema de Registro de preços. 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O prazo d</w:t>
      </w:r>
      <w:r>
        <w:rPr>
          <w:color w:val="000000"/>
          <w:sz w:val="20"/>
          <w:szCs w:val="20"/>
        </w:rPr>
        <w:t>e entrega do objeto licitado deverá ser de até 10 (dez) dias corridos, a contar do recebimento da Nota de Empenho.</w:t>
      </w:r>
    </w:p>
    <w:p w:rsidR="00F60E6C" w:rsidRDefault="004C29A0">
      <w:pPr>
        <w:keepLines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 produtos deverão ser entregues, conforme as necessidades da Secretaria requisitante no Setor</w:t>
      </w:r>
      <w:r>
        <w:rPr>
          <w:sz w:val="20"/>
          <w:szCs w:val="20"/>
          <w:highlight w:val="white"/>
        </w:rPr>
        <w:t xml:space="preserve"> de Farmácia Ordem Judicial, Av. Santos Ferrei</w:t>
      </w:r>
      <w:r>
        <w:rPr>
          <w:sz w:val="20"/>
          <w:szCs w:val="20"/>
          <w:highlight w:val="white"/>
        </w:rPr>
        <w:t>ra, 1655, bairro Marechal Rondon, no horário das 8h às 11h30min de segunda a sexta-feira, em dias úteis</w:t>
      </w:r>
      <w:r>
        <w:rPr>
          <w:sz w:val="20"/>
          <w:szCs w:val="20"/>
        </w:rPr>
        <w:t xml:space="preserve"> (2º andar - entrada pela porta lateral do corredor de acesso à Farmácia Solidária);</w:t>
      </w: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14 – PLANEJAMENTO À POSSÍVEIS IMPACTOS AMBIENTAIS:</w:t>
      </w:r>
    </w:p>
    <w:p w:rsidR="00F60E6C" w:rsidRDefault="004C29A0">
      <w:pPr>
        <w:spacing w:before="20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Dada a natureza d</w:t>
      </w:r>
      <w:r>
        <w:rPr>
          <w:color w:val="000000"/>
          <w:sz w:val="20"/>
          <w:szCs w:val="20"/>
        </w:rPr>
        <w:t>o objeto que se busca adquirir, não há impactos ambientais significativos. Portanto, é necessário apenas que a licitante cumpra os critérios estabelecidos pelos órgãos fiscalizadores e pela política de sustentabilidade ambiental previamente discutida no tó</w:t>
      </w:r>
      <w:r>
        <w:rPr>
          <w:color w:val="000000"/>
          <w:sz w:val="20"/>
          <w:szCs w:val="20"/>
        </w:rPr>
        <w:t xml:space="preserve">pico 4 deste Estudo Técnico Preliminar (ETP). </w:t>
      </w:r>
    </w:p>
    <w:p w:rsidR="00F60E6C" w:rsidRDefault="004C29A0">
      <w:pPr>
        <w:keepLines w:val="0"/>
        <w:spacing w:before="20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15 - VIABILIDADE DA CONTRATAÇÃO:</w:t>
      </w:r>
    </w:p>
    <w:p w:rsidR="00F60E6C" w:rsidRDefault="004C29A0">
      <w:pPr>
        <w:keepLines w:val="0"/>
        <w:pBdr>
          <w:top w:val="nil"/>
          <w:left w:val="nil"/>
          <w:bottom w:val="nil"/>
          <w:right w:val="nil"/>
          <w:between w:val="nil"/>
        </w:pBdr>
        <w:spacing w:after="150"/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Considerando a necessidade de cumprimento de mandado na forma contínua, evitando a penalização do município por desobediência à Ordem Judicial, a presente solicitação mostra-se VIÁVEL com base neste Estudo Técnico Preliminar.</w:t>
      </w:r>
    </w:p>
    <w:p w:rsidR="00F60E6C" w:rsidRDefault="00F60E6C">
      <w:pPr>
        <w:keepLines w:val="0"/>
        <w:spacing w:before="200"/>
        <w:jc w:val="both"/>
        <w:rPr>
          <w:color w:val="000000"/>
          <w:sz w:val="20"/>
          <w:szCs w:val="20"/>
        </w:rPr>
      </w:pP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Lenise Chuaste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Matrícula 1013</w:t>
      </w:r>
      <w:r>
        <w:rPr>
          <w:color w:val="000000"/>
          <w:sz w:val="20"/>
          <w:szCs w:val="20"/>
        </w:rPr>
        <w:t>65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Responsável pela elaboração do Estudo Técnico Preliminar</w:t>
      </w:r>
    </w:p>
    <w:p w:rsidR="00F60E6C" w:rsidRDefault="004C29A0">
      <w:pPr>
        <w:keepLines w:val="0"/>
        <w:spacing w:before="2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Secretaria Municipal da Saúde</w:t>
      </w:r>
    </w:p>
    <w:p w:rsidR="00F60E6C" w:rsidRDefault="00F60E6C">
      <w:pPr>
        <w:keepLines w:val="0"/>
        <w:spacing w:before="200"/>
        <w:jc w:val="both"/>
        <w:rPr>
          <w:color w:val="000000"/>
          <w:sz w:val="20"/>
          <w:szCs w:val="20"/>
        </w:rPr>
      </w:pPr>
    </w:p>
    <w:p w:rsidR="00F60E6C" w:rsidRDefault="00F60E6C">
      <w:pPr>
        <w:jc w:val="both"/>
        <w:rPr>
          <w:sz w:val="20"/>
          <w:szCs w:val="20"/>
        </w:rPr>
      </w:pPr>
    </w:p>
    <w:sectPr w:rsidR="00F60E6C">
      <w:headerReference w:type="default" r:id="rId7"/>
      <w:footerReference w:type="default" r:id="rId8"/>
      <w:pgSz w:w="11906" w:h="16838"/>
      <w:pgMar w:top="2041" w:right="1702" w:bottom="1474" w:left="1133" w:header="85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A0" w:rsidRDefault="004C29A0">
      <w:r>
        <w:separator/>
      </w:r>
    </w:p>
  </w:endnote>
  <w:endnote w:type="continuationSeparator" w:id="0">
    <w:p w:rsidR="004C29A0" w:rsidRDefault="004C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6C" w:rsidRDefault="004C29A0">
    <w:pP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 w:rsidR="00844AE6">
      <w:fldChar w:fldCharType="separate"/>
    </w:r>
    <w:r w:rsidR="00F339D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A0" w:rsidRDefault="004C29A0">
      <w:r>
        <w:separator/>
      </w:r>
    </w:p>
  </w:footnote>
  <w:footnote w:type="continuationSeparator" w:id="0">
    <w:p w:rsidR="004C29A0" w:rsidRDefault="004C2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6C" w:rsidRDefault="00F60E6C">
    <w:pPr>
      <w:keepLines w:val="0"/>
      <w:spacing w:line="276" w:lineRule="auto"/>
    </w:pPr>
  </w:p>
  <w:tbl>
    <w:tblPr>
      <w:tblStyle w:val="a5"/>
      <w:tblW w:w="6448" w:type="dxa"/>
      <w:tblInd w:w="-15" w:type="dxa"/>
      <w:tblLayout w:type="fixed"/>
      <w:tblLook w:val="0000" w:firstRow="0" w:lastRow="0" w:firstColumn="0" w:lastColumn="0" w:noHBand="0" w:noVBand="0"/>
    </w:tblPr>
    <w:tblGrid>
      <w:gridCol w:w="1116"/>
      <w:gridCol w:w="5332"/>
    </w:tblGrid>
    <w:tr w:rsidR="00F60E6C">
      <w:trPr>
        <w:trHeight w:val="1324"/>
        <w:tblHeader/>
      </w:trPr>
      <w:tc>
        <w:tcPr>
          <w:tcW w:w="1116" w:type="dxa"/>
          <w:shd w:val="clear" w:color="auto" w:fill="auto"/>
        </w:tcPr>
        <w:p w:rsidR="00F60E6C" w:rsidRDefault="004C29A0">
          <w:pPr>
            <w:keepLines w:val="0"/>
            <w:spacing w:before="10" w:after="32"/>
            <w:rPr>
              <w:rFonts w:ascii="Liberation Serif" w:eastAsia="Liberation Serif" w:hAnsi="Liberation Serif" w:cs="Liberation Serif"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571500" cy="809625"/>
                <wp:effectExtent l="0" t="0" r="0" b="0"/>
                <wp:docPr id="3" name="image1.png" descr="Uma imagem contendo 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ma imagem contendo 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2" w:type="dxa"/>
          <w:shd w:val="clear" w:color="auto" w:fill="auto"/>
        </w:tcPr>
        <w:p w:rsidR="00F60E6C" w:rsidRDefault="004C29A0">
          <w:pPr>
            <w:keepLines w:val="0"/>
            <w:ind w:left="240"/>
            <w:rPr>
              <w:rFonts w:ascii="Liberation Serif" w:eastAsia="Liberation Serif" w:hAnsi="Liberation Serif" w:cs="Liberation Serif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ESTADO DO RIO GRANDE DO SUL</w:t>
          </w:r>
        </w:p>
        <w:p w:rsidR="00F60E6C" w:rsidRDefault="004C29A0">
          <w:pPr>
            <w:keepLines w:val="0"/>
            <w:ind w:left="240"/>
            <w:rPr>
              <w:rFonts w:ascii="Liberation Serif" w:eastAsia="Liberation Serif" w:hAnsi="Liberation Serif" w:cs="Liberation Serif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MUNICÍPIO DE CANOAS</w:t>
          </w:r>
        </w:p>
        <w:p w:rsidR="00F60E6C" w:rsidRDefault="004C29A0">
          <w:pPr>
            <w:keepLines w:val="0"/>
            <w:ind w:left="240"/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Secretaria Municipal d</w:t>
          </w:r>
          <w:r>
            <w:rPr>
              <w:rFonts w:ascii="Liberation Serif" w:eastAsia="Liberation Serif" w:hAnsi="Liberation Serif" w:cs="Liberation Serif"/>
              <w:color w:val="000000"/>
              <w:sz w:val="24"/>
              <w:szCs w:val="24"/>
            </w:rPr>
            <w:t>a Saúde</w:t>
          </w:r>
        </w:p>
        <w:p w:rsidR="00F60E6C" w:rsidRDefault="00F60E6C">
          <w:pPr>
            <w:keepLines w:val="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</w:tc>
    </w:tr>
  </w:tbl>
  <w:p w:rsidR="00F60E6C" w:rsidRDefault="00F60E6C">
    <w:pPr>
      <w:tabs>
        <w:tab w:val="center" w:pos="4320"/>
        <w:tab w:val="right" w:pos="8640"/>
      </w:tabs>
      <w:jc w:val="right"/>
      <w:rPr>
        <w:sz w:val="24"/>
        <w:szCs w:val="24"/>
        <w:highlight w:val="r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6C"/>
    <w:rsid w:val="004C29A0"/>
    <w:rsid w:val="00844AE6"/>
    <w:rsid w:val="00F339D8"/>
    <w:rsid w:val="00F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5AC2A-3902-49C7-A757-67F7CEA1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keepLine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420F5"/>
    <w:pPr>
      <w:keepLine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F420F5"/>
    <w:pPr>
      <w:widowControl w:val="0"/>
      <w:suppressAutoHyphens/>
      <w:spacing w:after="200" w:line="276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420F5"/>
    <w:pPr>
      <w:autoSpaceDN w:val="0"/>
      <w:spacing w:after="120" w:line="240" w:lineRule="auto"/>
    </w:pPr>
    <w:rPr>
      <w:rFonts w:eastAsia="SimSun"/>
      <w:color w:val="auto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AD0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0F57"/>
    <w:rPr>
      <w:rFonts w:ascii="Arial" w:eastAsia="Arial" w:hAnsi="Arial" w:cs="Arial"/>
      <w:color w:val="00000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0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F57"/>
    <w:rPr>
      <w:rFonts w:ascii="Arial" w:eastAsia="Arial" w:hAnsi="Arial" w:cs="Arial"/>
      <w:color w:val="00000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F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F57"/>
    <w:rPr>
      <w:rFonts w:ascii="Segoe UI" w:eastAsia="Arial" w:hAnsi="Segoe UI" w:cs="Segoe UI"/>
      <w:color w:val="00000A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4020BA"/>
    <w:rPr>
      <w:i/>
      <w:iCs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KewMFTeEFRvz0sQ/BJeMv279w==">CgMxLjAaHwoBMBIaChgICVIUChJ0YWJsZS5oeW1pd3R0aXdzeTgyCGguZ2pkZ3hzMg5oLmM1ajdiNXMxbXFuZDgAciExUEZUVmtDemg2RVZFVFl0MTJMSENWTTlWcVlKQVpBZmE=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2542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Lenise Chuaste</dc:creator>
  <cp:lastModifiedBy>Lenise Chuaste</cp:lastModifiedBy>
  <cp:revision>3</cp:revision>
  <dcterms:created xsi:type="dcterms:W3CDTF">2025-07-11T17:02:00Z</dcterms:created>
  <dcterms:modified xsi:type="dcterms:W3CDTF">2025-07-11T17:07:00Z</dcterms:modified>
</cp:coreProperties>
</file>