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righ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Diretoria de Licitações – Versão fevereiro de 2024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1 - INFORMAÇÕES BÁSICAS: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Secretaria Requisitante: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Processo SEI n° 23.0.000038078-4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2 - DESIGNAÇÃO DA EQUIPE DE PLANEJAMENTO: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Nome: </w:t>
      </w:r>
      <w:r>
        <w:rPr>
          <w:rFonts w:eastAsia="Times New Roman" w:cs="Times New Roman" w:ascii="Times New Roman" w:hAnsi="Times New Roman"/>
          <w:sz w:val="24"/>
          <w:szCs w:val="24"/>
        </w:rPr>
        <w:t>Everton Alexandre Gonçalves dos Santos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Matrícula: 12</w:t>
      </w:r>
      <w:r>
        <w:rPr>
          <w:rFonts w:eastAsia="Times New Roman" w:cs="Times New Roman" w:ascii="Times New Roman" w:hAnsi="Times New Roman"/>
          <w:sz w:val="24"/>
          <w:szCs w:val="24"/>
        </w:rPr>
        <w:t>8292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3 - DESCRIÇÃO DA NECESSIDADE DA CONTRATAÇÃO: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A realização de serviços de desratização e desinsetização nos serviços vinculados à Secretaria Municipal da Saúde (SMS), à Secretaria Municipal de Assistência Social (SMAS), à Secretaria Municipal de Esporte e Lazer (SMEL) e à Secretaria Municipal de Bem-Estar Animal (SMBEA) justifica-se a partir da necessidade de ser garantida a higiene, a saúde e a integridade dos usuários do município, além de cumprir com as regulamentações da fiscalização sanitária. A presença de um contrato vigente com uma empresa capaz de tais serviços evita a propagação de pragas urbanas que possam representar riscos à saúde da população, bem como às estruturas dos prédios e dos materiais. Ademais, a realização periódica de dedetização permite que os estabelecimentos ofereçam um ambiente seguro e com o funcionamento adequado e esperado dos serviços municipais de Canoas.  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4 - DESCRIÇÃO DOS REQUISITOS PARA A CONTRATAÇÃO: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4.1. Dos requisitos técnicos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Mostra-se necessária a utilização de produtos registrados na ANVISA, adequados ao uso em ambientes ocupados por pessoas e animais, além da escolha de métodos que garantam eficiência, segurança e menor impacto ambiental. Ademais, a execução do serviço deverá se dar por profissionais habilitados, uniformizados e identificados, aos quais serão fornecidos, pela contratada, os insumos, EPIs, equipamentos, ferramentas e materiais necessários. Ao fim da execução dos serviços, deverá ser entregue o Certificado de Execução dos Serviços. 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 atendimento às emergências se dará dentro dos seguintes prazos: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Desinsetização emergencial: em até 72h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Desratização emergencial: em até 48h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4.2. Da abrangência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Os serviços serão realizados nas áreas internas construídas e áreas externas remanescentes, unidades vinculadas à SMS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e demais órgãos participantes do Registro de Preços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, com possibilidade de acréscimo e/ou alterações de endereços durante a vigência do contrato.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4.3. Requisitos ambientais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Utilização de produtos de baixa toxicidade e seletividade; Técnicas de aplicação com mínima dispersão; Retorno e descarte adequado de embalagens; Utilização de métodos integrados de controle, priorizando soluções menos invasivas.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5 - LEVANTAMENTO DE MERCADO: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 mercado de dedetização oferece soluções consolidadas para controle de vetores, com metodologias baseadas em pulverização líquida, aplicação de gel, pó seco e iscas, barreiras químicas para roedores e armadilhas adesivas e sistemas de monitoramento.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solução mais eficaz para a demanda do Município de Canoas e que melhor atende aos princípios da economicidade, eficiência e continuidade dos serviços é a contratação de empresa terceirizada com ampla cobertura, aplicações semestrais e quinzenais, aplicações emergenciais, padronização técnica e certificação sanitária, além de atendimento centralizado sob demanda.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6 - DESCRIÇÃO DA SOLUÇÃO COMO UM TODO: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contratação de serviços especializados para o controle de vetores e pragas urbanas não apenas assegura a continuidade e a eficiência das rotinas de manutenção sanitária, mas também contribui diretamente para a melhoria da qualidade dos serviços públicos prestados à comunidade. A execução periódica destes procedimentos reduz significativamente riscos à saúde, previne danos estruturais aos prédios públicos e garante ambientes mais seguros, higienizados e adequados ao atendimento da população.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Além disso, é importante destacar que a incorporação de serviços de controle de pragas realizados por empresa especializada amplia a capacidade de resposta das Secretarias envolvidas, permitindo atendimentos emergenciais, ações planejadas e intervenções específicas conforme a necessidade de cada unidade. Essa capacidade ampliada é fundamental para acompanhar a crescente demanda das redes de saúde, assistência social, esporte e bem-estar animal, que atendem diariamente milhares de usuários em ambientes com grande circulação de pessoas e, em alguns casos, de animais.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Nesse sentido, a adoção de metodologias atualizadas, produtos regularizados pela ANVISA e técnicas de controle integrado contribui para resultados mais seguros, consistentes e sustentáveis, impactando positivamente na rotina das unidades e na satisfação dos usuários.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Desta forma, a contratação dos serviços de desinsetização, desratização e controle de vetores não representa apenas uma necessidade operacional, mas um investimento estratégico para garantir ambientes salubres, seguros e alinhados às melhores práticas de gestão pública. A execução adequada dessas atividades favorece o aprimoramento contínuo da oferta de serviços municipais, reforçando o compromisso do Município de Canoas com a proteção da saúde pública e o bem-estar da população.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7 - ESTIMATIVA DAS QUANTIDADES A SEREM CONTRATADAS:</w:t>
      </w:r>
    </w:p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da Saúde:</w:t>
      </w:r>
    </w:p>
    <w:tbl>
      <w:tblPr>
        <w:tblStyle w:val="Table1"/>
        <w:tblW w:w="9780" w:type="dxa"/>
        <w:jc w:val="left"/>
        <w:tblInd w:w="-420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1484"/>
        <w:gridCol w:w="2355"/>
        <w:gridCol w:w="1110"/>
        <w:gridCol w:w="1486"/>
        <w:gridCol w:w="1785"/>
        <w:gridCol w:w="1559"/>
      </w:tblGrid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UNIDADE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EXTERNA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</w:t>
            </w:r>
          </w:p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INTERNA</w:t>
            </w:r>
          </w:p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CONSTRUÍDA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DESINSETIZAÇÃO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DESRATIZAÇÃO</w:t>
            </w:r>
          </w:p>
        </w:tc>
      </w:tr>
      <w:tr>
        <w:trPr>
          <w:trHeight w:val="461" w:hRule="atLeast"/>
        </w:trPr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Ambulatório T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Araçá, 74 - Centro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137,4m²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98,56m²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235,96m²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235,96m²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Farmácia Estadual, Municipal e OJ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Santos Ferreira, 1665 - M. Rondon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71,76m²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582,75m²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654,51m²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654,51m²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Farmácia Caçapava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Caçapava, 201 - Mathias Velho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504,54m²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92,46m²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597m²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597m²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Farmácia Niterói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Lajeado, 1373 - loja 04 - Niterói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84,24m²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84,24m²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84,24m²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Santa Isabel</w:t>
              <w:br/>
              <w:t>Tisiologia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Frei Orlando, 141 - Centro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666,81m²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630m²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1.298,81m²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1.298,81m²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Olaria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Alberto Rodrigues de Oliveira Alves, 25 - Estância Velha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174,41m²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332,39m²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506,8m²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506,8m²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São José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João Pessoa, s/n - São José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247,93m²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355,28m²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603,21m²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603,21m²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CAIC e Farmácia CAIC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21 de Março, 100 - Guajuviras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1.351m²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475,8m²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1.826,8m²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1.826,8m²</w:t>
            </w:r>
          </w:p>
        </w:tc>
      </w:tr>
      <w:tr>
        <w:trPr>
          <w:trHeight w:val="746" w:hRule="atLeast"/>
        </w:trPr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Guajuviras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17 de abril, 1991 - Guajuviras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735,49m²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540,09m²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1.275,58m²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1.275,58m²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Estância Velha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São Matheus, s/n - Estância Velha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647,79m²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445,04m²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1.093,19m²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1.093,19m²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São Vicente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Walter de Oliveira Ilha, 90 - Estância Velha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1.066,65m²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547,16m²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1.613,81m²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1.613,81m²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Cerne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Eng. Kindle, 1460 - Vila Cerne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782,94m²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433,44m²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1.216,38m²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1.216,38m²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Natal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Nossa Senhora da Conceição, 285 - Natal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104,05m²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570,34m²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674,39m²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674,39m²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Santo Operário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da Associação, 331 - Vila Cerne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345,81m²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188,23m²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534,04m²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534,04m²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São Luís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Teófilo Otoni, 268 - São Luis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385,77m²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197,14m²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582,91m²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582,91m²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Harmonia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Machado de Assis, 201 - Harmonia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2.363,81m²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428,48m²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2.792,26m²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2.792,26m²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Praça América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 Rio Grande do Sul, 420 - Mathias Velho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414,92m²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440,07m²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854,99m²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854,99m²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União e Farmácia União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São Borja, 395 - Mathias Velho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1.438,47m²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728,53m²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2.167m²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2.167m²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Mathias Velho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Rio Grande do Sul, 1615 - Mathias Velho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303,74m²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410,59m²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714,33m²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714,33m²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João de Barro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Itamar Mattos de Maia, 1329 - Niterói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549,63m²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656m²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1.205,63m²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1.205,63m²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Fernandes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Gomes Freire de Andrade, 1036 - Niterói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124,94m²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212,37m²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337,31m²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337,31m²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Nova Niterói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Quaraí, s/n - Niterói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647,33m²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298,02m²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945,35m²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945,35m²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Niterói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Marechal Rondon, 132 - Niterói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184,74m²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360,26m²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545m²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545m²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Boa Saúde</w:t>
              <w:br/>
              <w:t>US Pedro Luiz da Silveira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José de Alencar, S/N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102,63m²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262,2m²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366,83m²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366,83m²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Central Park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das Canoas, 169 - Mato Grande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140m²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110,38m²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250,38m²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250,38m²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Fátima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João Nicolau, 218 - Fátima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179,63m²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391,94m²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571,57m²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571,57m²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Prata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Buttenbender, 244 - Fátima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710,35m²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547,37m²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1.257,72m²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1.257,72m²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Rio Branco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Edgar Fritz Müller, 430 - Rio Branco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241,69m²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340m²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581,69m²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581,69m²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 Mato Grande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República, 460 - Mato Grande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248,8m²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414,69m²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663,49m²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663,49m²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CAPSi Arco Íris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Major Ernesto Witrock, 51 - Centro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180,26m²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254,59m²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434,85m²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434,85m²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CERTEA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Frederico Guilherme Ludwig, 55 - Centro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330m²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388,52m²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718,52m²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718,52m²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CEM, CSRM, CRI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Brasil, 438 - Centro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620,49m²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710m²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1.330,49m²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1.330,49m²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SAE/CTA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Guilherme Schell, 6184 - Centro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211,13m²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423,94m²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635,07m²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635,07m²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CEO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Frei Orlando, 74 - Centro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216,62m²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310,40m²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527,02m²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527,02m²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PAC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Rua Vitor Barreto, 3056 - Centro 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300m²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380m²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680m²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680m²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Sede SMS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Dr. Barcelos, 1600 - Centro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202,45m²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3.114,55m²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3.317m²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3.317m²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Centro de Abastecimento Farmacêutico (CAF)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7 de setembro, 100 - Nossa Senhora das Graças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363,86m²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542,76m²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906,62m²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906,62m²</w:t>
            </w:r>
          </w:p>
        </w:tc>
      </w:tr>
      <w:tr>
        <w:trPr/>
        <w:tc>
          <w:tcPr>
            <w:tcW w:w="14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Depósito SMS</w:t>
            </w:r>
          </w:p>
        </w:tc>
        <w:tc>
          <w:tcPr>
            <w:tcW w:w="23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Boqueirão, 1031 - Igara</w:t>
            </w:r>
          </w:p>
        </w:tc>
        <w:tc>
          <w:tcPr>
            <w:tcW w:w="11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1.530,87m²</w:t>
            </w:r>
          </w:p>
        </w:tc>
        <w:tc>
          <w:tcPr>
            <w:tcW w:w="14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2.020,53m²</w:t>
            </w:r>
          </w:p>
        </w:tc>
        <w:tc>
          <w:tcPr>
            <w:tcW w:w="17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3.551,40m²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3.551,40m²</w:t>
            </w:r>
          </w:p>
        </w:tc>
      </w:tr>
      <w:tr>
        <w:trPr>
          <w:trHeight w:val="440" w:hRule="atLeast"/>
        </w:trPr>
        <w:tc>
          <w:tcPr>
            <w:tcW w:w="4949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(semestral)</w:t>
            </w:r>
          </w:p>
        </w:tc>
        <w:tc>
          <w:tcPr>
            <w:tcW w:w="4830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Dedetização: 38.152,15m²</w:t>
            </w:r>
          </w:p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Desinsetização: 38.152,15m²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de Serviços e Zeladoria Urbana:</w:t>
      </w:r>
    </w:p>
    <w:tbl>
      <w:tblPr>
        <w:tblStyle w:val="Table2"/>
        <w:tblW w:w="9720" w:type="dxa"/>
        <w:jc w:val="left"/>
        <w:tblInd w:w="-451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3554"/>
        <w:gridCol w:w="3195"/>
        <w:gridCol w:w="1531"/>
        <w:gridCol w:w="1439"/>
      </w:tblGrid>
      <w:tr>
        <w:trPr/>
        <w:tc>
          <w:tcPr>
            <w:tcW w:w="3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UNIDADE</w:t>
            </w:r>
          </w:p>
        </w:tc>
        <w:tc>
          <w:tcPr>
            <w:tcW w:w="31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53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 DESRATIZAÇÃO</w:t>
            </w:r>
          </w:p>
        </w:tc>
      </w:tr>
      <w:tr>
        <w:trPr>
          <w:trHeight w:val="440" w:hRule="atLeast"/>
        </w:trPr>
        <w:tc>
          <w:tcPr>
            <w:tcW w:w="3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Cemitério Municipal Chácara Barreto</w:t>
            </w:r>
          </w:p>
        </w:tc>
        <w:tc>
          <w:tcPr>
            <w:tcW w:w="31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Santos Ferreira, 2105 - Estância Velha</w:t>
            </w:r>
          </w:p>
        </w:tc>
        <w:tc>
          <w:tcPr>
            <w:tcW w:w="1531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61.670m²</w:t>
            </w:r>
          </w:p>
        </w:tc>
        <w:tc>
          <w:tcPr>
            <w:tcW w:w="1439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61.670m²</w:t>
            </w:r>
          </w:p>
        </w:tc>
      </w:tr>
      <w:tr>
        <w:trPr>
          <w:trHeight w:val="440" w:hRule="atLeast"/>
        </w:trPr>
        <w:tc>
          <w:tcPr>
            <w:tcW w:w="3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Cemitério Municipal Santo Antônio</w:t>
            </w:r>
          </w:p>
        </w:tc>
        <w:tc>
          <w:tcPr>
            <w:tcW w:w="31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Luiz Carlos Müller, 186 - Nossa Senhora das Graças</w:t>
            </w:r>
          </w:p>
        </w:tc>
        <w:tc>
          <w:tcPr>
            <w:tcW w:w="1531" w:type="dxa"/>
            <w:vMerge w:val="continue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spacing w:lineRule="auto" w:line="240" w:before="0" w:after="0"/>
              <w:ind w:hanging="0"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spacing w:lineRule="auto" w:line="240" w:before="0" w:after="0"/>
              <w:ind w:hanging="0"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Estação de Transbordo de Resíduos Sólidos Urbanos (Aterro Guajuviras)</w:t>
            </w:r>
          </w:p>
        </w:tc>
        <w:tc>
          <w:tcPr>
            <w:tcW w:w="31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do Nazário, 3303 - Guajuviras</w:t>
            </w:r>
          </w:p>
        </w:tc>
        <w:tc>
          <w:tcPr>
            <w:tcW w:w="153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3.680m²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3.680m²</w:t>
            </w:r>
          </w:p>
        </w:tc>
      </w:tr>
      <w:tr>
        <w:trPr/>
        <w:tc>
          <w:tcPr>
            <w:tcW w:w="3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Capela Ecumênica Municipal</w:t>
            </w:r>
          </w:p>
        </w:tc>
        <w:tc>
          <w:tcPr>
            <w:tcW w:w="31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Caçapava, 420 - Mathias Velho</w:t>
            </w:r>
          </w:p>
        </w:tc>
        <w:tc>
          <w:tcPr>
            <w:tcW w:w="153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2.090m²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2.090m²</w:t>
            </w:r>
          </w:p>
        </w:tc>
      </w:tr>
      <w:tr>
        <w:trPr/>
        <w:tc>
          <w:tcPr>
            <w:tcW w:w="3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spacing w:lineRule="auto" w:line="360" w:before="20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Sede da SMSZU</w:t>
            </w:r>
          </w:p>
        </w:tc>
        <w:tc>
          <w:tcPr>
            <w:tcW w:w="31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Aurora, 411 - Marechal Rondon</w:t>
            </w:r>
          </w:p>
        </w:tc>
        <w:tc>
          <w:tcPr>
            <w:tcW w:w="153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3.595m²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3.595m²</w:t>
            </w:r>
          </w:p>
        </w:tc>
      </w:tr>
      <w:tr>
        <w:trPr>
          <w:trHeight w:val="440" w:hRule="atLeast"/>
        </w:trPr>
        <w:tc>
          <w:tcPr>
            <w:tcW w:w="6749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spacing w:lineRule="auto" w:line="360" w:before="20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(semestral)</w:t>
            </w:r>
          </w:p>
        </w:tc>
        <w:tc>
          <w:tcPr>
            <w:tcW w:w="153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71.035m²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71.035m²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de Obras e Reconstrução:</w:t>
      </w:r>
    </w:p>
    <w:tbl>
      <w:tblPr>
        <w:tblStyle w:val="Table3"/>
        <w:tblW w:w="9765" w:type="dxa"/>
        <w:jc w:val="left"/>
        <w:tblInd w:w="-451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3270"/>
        <w:gridCol w:w="3495"/>
        <w:gridCol w:w="1545"/>
        <w:gridCol w:w="1454"/>
      </w:tblGrid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UNIDADE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DESRATIZAÇÃO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Sede da SMOR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General Salustiano, 640 - Marechal Rondon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5.340m²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5.340m²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Casa de Bombas 1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Gravataí, 1000 - Niterói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2.813m²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2.813m²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Casa de Bombas 2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Gravataí, 700 - Niterói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2.536m²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2.536m²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Casa de Bombas 3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Hermes da Fonseca, 1400 - Rio Branco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3.186m²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3.186m²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Casa de Bombas 4 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Irineu de Carvalho Braga, 93 - Fátima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1.419m²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1.419m²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Casa de Bombas 5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República, 1892 - Harmonia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624m²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624m²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Casa de Bombas 6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Curitiba, 4000 - Mathias Velho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1.861m²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1.861m²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Casa de Bombas 7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Curitiba, 1551 - Mathias Velho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3.175m²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3.175m²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Casa de Bombas 8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Curitiba, 2311 - Mathias Velho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2.042m²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2.042m²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1ª Capatazia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Flores da Cunha, 4800 - Estância Velha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418m²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418m²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Usina de Asfalto (DPOV)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Antônio Frederido Ozanan, 212 - Brigadeira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2.094,10m²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2.094,10m²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Pedrinhas (DPOV)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Guilherme Schell, 4666 - Centro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688m²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688m²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8ª Capatazia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Senador Salgado Filho, 1445 - São Luiz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421m²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421m²</w:t>
            </w:r>
          </w:p>
        </w:tc>
      </w:tr>
      <w:tr>
        <w:trPr/>
        <w:tc>
          <w:tcPr>
            <w:tcW w:w="327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Unidade de Pavimentação (DPOV)</w:t>
            </w:r>
          </w:p>
        </w:tc>
        <w:tc>
          <w:tcPr>
            <w:tcW w:w="34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Machado de Assis, 213 - Harmonia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1.009m²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1.009m²</w:t>
            </w:r>
          </w:p>
        </w:tc>
      </w:tr>
      <w:tr>
        <w:trPr>
          <w:trHeight w:val="440" w:hRule="atLeast"/>
        </w:trPr>
        <w:tc>
          <w:tcPr>
            <w:tcW w:w="6765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(semestral)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27.626,10m²</w:t>
            </w:r>
          </w:p>
        </w:tc>
        <w:tc>
          <w:tcPr>
            <w:tcW w:w="14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27.626,10m²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de Administração:</w:t>
      </w:r>
    </w:p>
    <w:tbl>
      <w:tblPr>
        <w:tblStyle w:val="Table4"/>
        <w:tblW w:w="9795" w:type="dxa"/>
        <w:jc w:val="left"/>
        <w:tblInd w:w="-451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2984"/>
        <w:gridCol w:w="3826"/>
        <w:gridCol w:w="1545"/>
        <w:gridCol w:w="1439"/>
      </w:tblGrid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UNIDADE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DESRATIZAÇÃO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Sede da SMA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Cândido Machado, 429 - Centro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6.800M²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6.800M²</w:t>
            </w:r>
          </w:p>
        </w:tc>
      </w:tr>
      <w:tr>
        <w:trPr>
          <w:trHeight w:val="440" w:hRule="atLeast"/>
        </w:trPr>
        <w:tc>
          <w:tcPr>
            <w:tcW w:w="6810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(semestral)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6.800M²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6.800M²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de Bem Estar Animal</w:t>
      </w:r>
    </w:p>
    <w:tbl>
      <w:tblPr>
        <w:tblStyle w:val="Table5"/>
        <w:tblW w:w="9795" w:type="dxa"/>
        <w:jc w:val="left"/>
        <w:tblInd w:w="-456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1589"/>
        <w:gridCol w:w="2506"/>
        <w:gridCol w:w="1319"/>
        <w:gridCol w:w="1396"/>
        <w:gridCol w:w="1559"/>
        <w:gridCol w:w="1425"/>
      </w:tblGrid>
      <w:tr>
        <w:trPr/>
        <w:tc>
          <w:tcPr>
            <w:tcW w:w="15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UNIDADE</w:t>
            </w:r>
          </w:p>
        </w:tc>
        <w:tc>
          <w:tcPr>
            <w:tcW w:w="25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3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EXTERNA</w:t>
            </w:r>
          </w:p>
        </w:tc>
        <w:tc>
          <w:tcPr>
            <w:tcW w:w="13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</w:t>
            </w:r>
          </w:p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INTERNA</w:t>
            </w:r>
          </w:p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CONSTRUÍDA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DESRATIZAÇÃO</w:t>
            </w:r>
          </w:p>
        </w:tc>
      </w:tr>
      <w:tr>
        <w:trPr/>
        <w:tc>
          <w:tcPr>
            <w:tcW w:w="15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Sede da SMBEA</w:t>
            </w:r>
          </w:p>
        </w:tc>
        <w:tc>
          <w:tcPr>
            <w:tcW w:w="250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Boqueirão, 1986 - Estância Velha</w:t>
            </w:r>
          </w:p>
        </w:tc>
        <w:tc>
          <w:tcPr>
            <w:tcW w:w="13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9.295m²</w:t>
            </w:r>
          </w:p>
        </w:tc>
        <w:tc>
          <w:tcPr>
            <w:tcW w:w="13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705m²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10.000m²</w:t>
            </w:r>
          </w:p>
        </w:tc>
        <w:tc>
          <w:tcPr>
            <w:tcW w:w="14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10.000m²</w:t>
            </w:r>
          </w:p>
        </w:tc>
      </w:tr>
      <w:tr>
        <w:trPr>
          <w:trHeight w:val="440" w:hRule="atLeast"/>
        </w:trPr>
        <w:tc>
          <w:tcPr>
            <w:tcW w:w="6810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(quinzenal)</w:t>
            </w:r>
          </w:p>
        </w:tc>
        <w:tc>
          <w:tcPr>
            <w:tcW w:w="15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10.000m²</w:t>
            </w:r>
          </w:p>
        </w:tc>
        <w:tc>
          <w:tcPr>
            <w:tcW w:w="14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10.000m²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de Mobilidade Urbana:</w:t>
      </w:r>
    </w:p>
    <w:tbl>
      <w:tblPr>
        <w:tblStyle w:val="Table6"/>
        <w:tblW w:w="9795" w:type="dxa"/>
        <w:jc w:val="left"/>
        <w:tblInd w:w="-451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2984"/>
        <w:gridCol w:w="3826"/>
        <w:gridCol w:w="1545"/>
        <w:gridCol w:w="1439"/>
      </w:tblGrid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tag w:val="goog_rdk_0"/>
                <w:id w:val="-1037907352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</w:r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  <w:t>UNIDADE</w:t>
                </w:r>
              </w:sdtContent>
            </w:sdt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DESRATIZAÇÃO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Sede da SMMU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Santa Maria, 582 - Marechal Rondon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3.800m²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3.800m²</w:t>
            </w:r>
          </w:p>
        </w:tc>
      </w:tr>
      <w:tr>
        <w:trPr>
          <w:trHeight w:val="440" w:hRule="atLeast"/>
        </w:trPr>
        <w:tc>
          <w:tcPr>
            <w:tcW w:w="6810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(semestral)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3.800m²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3.800M²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de Esporte e Lazer:</w:t>
      </w:r>
    </w:p>
    <w:tbl>
      <w:tblPr>
        <w:tblStyle w:val="Table7"/>
        <w:tblW w:w="9795" w:type="dxa"/>
        <w:jc w:val="left"/>
        <w:tblInd w:w="-451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2984"/>
        <w:gridCol w:w="3826"/>
        <w:gridCol w:w="1545"/>
        <w:gridCol w:w="1439"/>
      </w:tblGrid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tag w:val="goog_rdk_1"/>
                <w:id w:val="-2115900430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</w:r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  <w:t>UNIDADE</w:t>
                </w:r>
              </w:sdtContent>
            </w:sdt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DESRATIZAÇÃO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Centro de Esporte e Lazer - CAIC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17 de Abril, s/nº - Guajuviras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1.090m²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1.090m²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Praça da Juventude Martin Luther King - CCEMLK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Clóvis Beviláqua, 1770 - Harmonia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840m²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840m²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Centro de Esporte e Lazer São Francisco - CELSFA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Candelária, 31 - Mathias Velho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1.280m²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1.280m²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Centro de Esporte e Lazer São José - CELSJ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João Leivas Carvalho, 541 - São José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1.700m²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1.700m²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Centro de Esporte e Lazer São Luiz - CELSL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Eng. Rebouças, 1000 - São Luiz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1.850m²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1.850m²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Centro de Esporte e Lazer Madre Tereza de Calcutá - CELMTC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Itamar Mattos de Maia e Rua Clara Nunes - Niterói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840m²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840m²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Centro de Esporte e Lazer Mathias Velho - CELMV 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Rio Grande do Sul, 1790 - Mathias Velho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2.400m²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2.400m²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Centro Olímpico Municipal - COM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Araguaia, 1151 - Igara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4.800m²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4.800m²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Estação Cidadania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Rio Grande do Sul, 3320 - Mathias Velho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2.160m²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2.160m²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Parque Esportivo Eduardo Gomes - PEEG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Guilherme Schell, 3600 - Fátima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600m²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Parque Municipal Getúlio Vargas - PMGV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Dr. Sezefredo Azambuja Vieira, 700 - Marechal Rondon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360m²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Praça da Juventude Nelson Mandela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Maria Faustino Correa, 618 - Guajuviras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600m²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Praça CEU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Montenegro, 1057 - Rio Branco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240m²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Praça da Juventude Madre Tereza de Calcutá - PJMTC 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Rua Itamar Mattos de Maia 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240m²</w:t>
            </w:r>
          </w:p>
        </w:tc>
      </w:tr>
      <w:tr>
        <w:trPr>
          <w:trHeight w:val="440" w:hRule="atLeast"/>
        </w:trPr>
        <w:tc>
          <w:tcPr>
            <w:tcW w:w="6810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(trimestal)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19.000m²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19.000m²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de Meio Ambiente:</w:t>
      </w:r>
    </w:p>
    <w:tbl>
      <w:tblPr>
        <w:tblStyle w:val="Table8"/>
        <w:tblW w:w="9795" w:type="dxa"/>
        <w:jc w:val="left"/>
        <w:tblInd w:w="-451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2984"/>
        <w:gridCol w:w="3826"/>
        <w:gridCol w:w="1545"/>
        <w:gridCol w:w="1439"/>
      </w:tblGrid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tag w:val="goog_rdk_2"/>
                <w:id w:val="-1383117830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</w:r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  <w:t>UNIDADE</w:t>
                </w:r>
              </w:sdtContent>
            </w:sdt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DESRATIZAÇÃO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Sede da SMMA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Monte Castelo, 410 e Rua Lagunenses, 52 - Nossa Senhora das Graças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852m²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852m²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Parque dos Lagostins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Av. Farroupilha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200m²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200m²</w:t>
            </w:r>
          </w:p>
        </w:tc>
      </w:tr>
      <w:tr>
        <w:trPr>
          <w:trHeight w:val="440" w:hRule="atLeast"/>
        </w:trPr>
        <w:tc>
          <w:tcPr>
            <w:tcW w:w="6810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(semestral)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1.052m²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1.052m²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Secretaria Municipal de Transparência, Controladoria e Governo Digital:</w:t>
      </w:r>
    </w:p>
    <w:tbl>
      <w:tblPr>
        <w:tblStyle w:val="Table9"/>
        <w:tblW w:w="9795" w:type="dxa"/>
        <w:jc w:val="left"/>
        <w:tblInd w:w="-451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2984"/>
        <w:gridCol w:w="3826"/>
        <w:gridCol w:w="1545"/>
        <w:gridCol w:w="1439"/>
      </w:tblGrid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tag w:val="goog_rdk_3"/>
                <w:id w:val="352139734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</w:r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  <w:t>UNIDADE</w:t>
                </w:r>
              </w:sdtContent>
            </w:sdt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DESRATIZAÇÃO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Sede da SMTCGD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Cândido Machado, 429/5º andar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277m²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440" w:hRule="atLeast"/>
        </w:trPr>
        <w:tc>
          <w:tcPr>
            <w:tcW w:w="6810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(semestral)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277m²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Gabinete do Prefeito:</w:t>
      </w:r>
    </w:p>
    <w:tbl>
      <w:tblPr>
        <w:tblStyle w:val="Table10"/>
        <w:tblW w:w="9795" w:type="dxa"/>
        <w:jc w:val="left"/>
        <w:tblInd w:w="-451" w:type="dxa"/>
        <w:tblLayout w:type="fixed"/>
        <w:tblCellMar>
          <w:top w:w="0" w:type="dxa"/>
          <w:left w:w="90" w:type="dxa"/>
          <w:bottom w:w="0" w:type="dxa"/>
          <w:right w:w="108" w:type="dxa"/>
        </w:tblCellMar>
        <w:tblLook w:val="0600"/>
      </w:tblPr>
      <w:tblGrid>
        <w:gridCol w:w="2984"/>
        <w:gridCol w:w="3826"/>
        <w:gridCol w:w="1545"/>
        <w:gridCol w:w="1439"/>
      </w:tblGrid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tag w:val="goog_rdk_4"/>
                <w:id w:val="-1038067147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</w:r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  <w:t>UNIDADE</w:t>
                </w:r>
              </w:sdtContent>
            </w:sdt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DESINSETIZAÇÃO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DESRATIZAÇÃO</w:t>
            </w:r>
          </w:p>
        </w:tc>
      </w:tr>
      <w:tr>
        <w:trPr/>
        <w:tc>
          <w:tcPr>
            <w:tcW w:w="29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GP</w:t>
            </w:r>
          </w:p>
        </w:tc>
        <w:tc>
          <w:tcPr>
            <w:tcW w:w="3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Rua 15 de Janeiro, 11 - Centro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3.623,15m²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3.623,15m²</w:t>
            </w:r>
          </w:p>
        </w:tc>
      </w:tr>
      <w:tr>
        <w:trPr>
          <w:trHeight w:val="440" w:hRule="atLeast"/>
        </w:trPr>
        <w:tc>
          <w:tcPr>
            <w:tcW w:w="6810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ÁREA TOTAL (semestral)</w:t>
            </w:r>
          </w:p>
        </w:tc>
        <w:tc>
          <w:tcPr>
            <w:tcW w:w="1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3.623,15m²</w:t>
            </w:r>
          </w:p>
        </w:tc>
        <w:tc>
          <w:tcPr>
            <w:tcW w:w="14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3.623,15m²</w:t>
            </w:r>
          </w:p>
        </w:tc>
      </w:tr>
    </w:tbl>
    <w:p>
      <w:pPr>
        <w:pStyle w:val="LO-normal"/>
        <w:spacing w:lineRule="auto" w:line="360" w:before="20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Quantitativos Totais:</w:t>
      </w:r>
    </w:p>
    <w:tbl>
      <w:tblPr>
        <w:tblStyle w:val="Table11"/>
        <w:tblW w:w="9810" w:type="dxa"/>
        <w:jc w:val="left"/>
        <w:tblInd w:w="-46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919"/>
        <w:gridCol w:w="1605"/>
        <w:gridCol w:w="1920"/>
        <w:gridCol w:w="2026"/>
        <w:gridCol w:w="2340"/>
      </w:tblGrid>
      <w:tr>
        <w:trPr/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tag w:val="goog_rdk_5"/>
                <w:id w:val="-1072808313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</w:r>
                <w:r>
                  <w:rPr>
                    <w:rFonts w:eastAsia="Times New Roman" w:cs="Times New Roman" w:ascii="Times New Roman" w:hAnsi="Times New Roman"/>
                    <w:sz w:val="24"/>
                    <w:szCs w:val="24"/>
                  </w:rPr>
                  <w:t>Serviço</w:t>
                </w:r>
              </w:sdtContent>
            </w:sdt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Periodicidade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Metragem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Quant. total de aplicações anual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Quant. total de metros anual</w:t>
            </w:r>
          </w:p>
        </w:tc>
      </w:tr>
      <w:tr>
        <w:trPr>
          <w:trHeight w:val="440" w:hRule="atLeast"/>
        </w:trPr>
        <w:tc>
          <w:tcPr>
            <w:tcW w:w="19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Desinsetização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Semestral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152.365,40m²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304.730,80m²</w:t>
            </w:r>
          </w:p>
        </w:tc>
      </w:tr>
      <w:tr>
        <w:trPr>
          <w:trHeight w:val="440" w:hRule="atLeast"/>
        </w:trPr>
        <w:tc>
          <w:tcPr>
            <w:tcW w:w="191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spacing w:lineRule="auto" w:line="240" w:before="0" w:after="0"/>
              <w:ind w:hanging="0"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Trimestral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19.000m²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76.000m²</w:t>
            </w:r>
          </w:p>
        </w:tc>
      </w:tr>
      <w:tr>
        <w:trPr>
          <w:trHeight w:val="440" w:hRule="atLeast"/>
        </w:trPr>
        <w:tc>
          <w:tcPr>
            <w:tcW w:w="191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spacing w:lineRule="auto" w:line="240" w:before="0" w:after="0"/>
              <w:ind w:hanging="0"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Quinzenal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10.000m²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240.000m²</w:t>
            </w:r>
          </w:p>
        </w:tc>
      </w:tr>
      <w:tr>
        <w:trPr>
          <w:trHeight w:val="440" w:hRule="atLeast"/>
        </w:trPr>
        <w:tc>
          <w:tcPr>
            <w:tcW w:w="19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Desratização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Semestral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152.088,40m²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304.176,80m²</w:t>
            </w:r>
          </w:p>
        </w:tc>
      </w:tr>
      <w:tr>
        <w:trPr>
          <w:trHeight w:val="440" w:hRule="atLeast"/>
        </w:trPr>
        <w:tc>
          <w:tcPr>
            <w:tcW w:w="191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spacing w:lineRule="auto" w:line="240" w:before="0" w:after="0"/>
              <w:ind w:hanging="0"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Trimestral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19.000m²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76.000m²</w:t>
            </w:r>
          </w:p>
        </w:tc>
      </w:tr>
      <w:tr>
        <w:trPr>
          <w:trHeight w:val="440" w:hRule="atLeast"/>
        </w:trPr>
        <w:tc>
          <w:tcPr>
            <w:tcW w:w="1919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spacing w:lineRule="auto" w:line="240" w:before="0" w:after="0"/>
              <w:ind w:hanging="0" w:left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Quinzenal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10.000m²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-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240.000m²</w:t>
            </w:r>
          </w:p>
        </w:tc>
      </w:tr>
    </w:tbl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8 - ESTIMATIVA DO VALOR DA CONTRATAÇÃO: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Os valores </w:t>
      </w:r>
      <w:r>
        <w:rPr>
          <w:rFonts w:eastAsia="Times New Roman" w:cs="Times New Roman" w:ascii="Times New Roman" w:hAnsi="Times New Roman"/>
          <w:sz w:val="24"/>
          <w:szCs w:val="24"/>
        </w:rPr>
        <w:t>foram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ser obtidos através de pesquisa de mercado, utilizando-se a unidade de medida padrão (m² tratado). Após pesquisa em portais de compras, consulta a </w:t>
      </w:r>
      <w:r>
        <w:rPr>
          <w:rFonts w:eastAsia="Times New Roman" w:cs="Times New Roman" w:ascii="Times New Roman" w:hAnsi="Times New Roman"/>
          <w:sz w:val="24"/>
          <w:szCs w:val="24"/>
        </w:rPr>
        <w:t>fornecedores e atas de outros entes públicos, os valores obtidos foram:</w:t>
      </w:r>
    </w:p>
    <w:p>
      <w:pPr>
        <w:pStyle w:val="LO-normal"/>
        <w:keepLines/>
        <w:spacing w:lineRule="auto" w:line="360" w:before="200" w:after="0"/>
        <w:ind w:firstLine="709"/>
        <w:jc w:val="both"/>
        <w:rPr>
          <w:color w:val="00000A"/>
        </w:rPr>
      </w:pPr>
      <w:r>
        <w:rPr>
          <w:color w:val="00000A"/>
        </w:rPr>
      </w:r>
    </w:p>
    <w:tbl>
      <w:tblPr>
        <w:tblStyle w:val="Table12"/>
        <w:tblW w:w="10575" w:type="dxa"/>
        <w:jc w:val="left"/>
        <w:tblInd w:w="-1294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00"/>
      </w:tblPr>
      <w:tblGrid>
        <w:gridCol w:w="870"/>
        <w:gridCol w:w="1140"/>
        <w:gridCol w:w="2835"/>
        <w:gridCol w:w="1380"/>
        <w:gridCol w:w="1560"/>
        <w:gridCol w:w="1244"/>
        <w:gridCol w:w="1545"/>
      </w:tblGrid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ITEM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CATSER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DESCRIÇÃO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UNIDADE DE MEDIDA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METRAGEM ANUAL ESTIMADA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VALOR UNITÁRIO POR M²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VALOR TOTAL ANUAL ESTIMADO</w:t>
            </w:r>
          </w:p>
        </w:tc>
      </w:tr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240" w:before="200" w:after="288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tabs>
                <w:tab w:val="clear" w:pos="720"/>
                <w:tab w:val="left" w:pos="785" w:leader="none"/>
                <w:tab w:val="left" w:pos="787" w:leader="none"/>
                <w:tab w:val="right" w:pos="3429" w:leader="none"/>
              </w:tabs>
              <w:spacing w:lineRule="auto" w:line="240" w:before="11" w:after="0"/>
              <w:ind w:right="8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Serviço de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desinsetização</w:t>
            </w:r>
            <w:r>
              <w:rPr>
                <w:rFonts w:eastAsia="Times New Roman" w:cs="Times New Roman" w:ascii="Times New Roman" w:hAnsi="Times New Roman"/>
              </w:rPr>
              <w:t xml:space="preserve"> (insetos e aracnídeos, rasteiros e voadores) para controle de vetores, conforme quantidades, periodicidade e metragens constantes no Termo de Referência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664.230,80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R$ 1,25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fill="FFFFFF"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R$ 830.288,50</w:t>
            </w:r>
          </w:p>
        </w:tc>
      </w:tr>
      <w:tr>
        <w:trPr>
          <w:trHeight w:val="1929" w:hRule="atLeast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240" w:before="200" w:after="288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tabs>
                <w:tab w:val="clear" w:pos="720"/>
                <w:tab w:val="left" w:pos="785" w:leader="none"/>
                <w:tab w:val="left" w:pos="787" w:leader="none"/>
                <w:tab w:val="right" w:pos="3429" w:leader="none"/>
              </w:tabs>
              <w:spacing w:lineRule="auto" w:line="240" w:before="11" w:after="0"/>
              <w:ind w:firstLine="141" w:right="8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Serviço de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desratização</w:t>
            </w:r>
            <w:r>
              <w:rPr>
                <w:rFonts w:eastAsia="Times New Roman" w:cs="Times New Roman" w:ascii="Times New Roman" w:hAnsi="Times New Roman"/>
              </w:rPr>
              <w:t xml:space="preserve"> para controle de roedores, conforme quantidades, periodicidade e metragens constantes no Termo de Referência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-normal"/>
              <w:keepLines/>
              <w:spacing w:lineRule="auto" w:line="360" w:before="20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630.176,80</w:t>
            </w:r>
          </w:p>
        </w:tc>
        <w:tc>
          <w:tcPr>
            <w:tcW w:w="124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R$ 1,00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fill="FFFFFF" w:val="clear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pStyle w:val="LO-normal"/>
              <w:widowControl w:val="false"/>
              <w:spacing w:lineRule="auto" w:line="276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R$ 630.176,80</w:t>
            </w:r>
          </w:p>
        </w:tc>
      </w:tr>
    </w:tbl>
    <w:p>
      <w:pPr>
        <w:pStyle w:val="LO-normal"/>
        <w:keepLines/>
        <w:spacing w:lineRule="auto" w:line="360" w:before="20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9 - JUSTIFICATIVA PARA PARCELAMENTO OU NÃO DA SOLUÇÃO: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O parcelamento da solução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em dois itens busca ampliar a competitividade, visando obter o melhor preço, conforme diretrizes da Lei 14.133/2021.</w:t>
      </w:r>
    </w:p>
    <w:p>
      <w:pPr>
        <w:pStyle w:val="LO-normal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  <w:t xml:space="preserve">Embora sejam atividades relacionadas ao controle de pragas, a separação técnica e econômica é viável e recomendada pois valoriza a concorrência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  <w:t xml:space="preserve">e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  <w:t>garante um serviço de maior qualidade e segurança (evitando uso incorreto de venenos),</w:t>
      </w:r>
    </w:p>
    <w:p>
      <w:pPr>
        <w:pStyle w:val="Blocodecitao"/>
        <w:pBdr/>
        <w:spacing w:lineRule="auto" w:line="360" w:before="0" w:after="0"/>
        <w:ind w:hanging="0" w:left="0" w:right="0"/>
        <w:jc w:val="both"/>
        <w:rPr>
          <w:rFonts w:ascii="Google Sans;Arial;sans-serif" w:hAnsi="Google Sans;Arial;sans-serif"/>
          <w:b w:val="false"/>
          <w:strike w:val="false"/>
          <w:dstrike w:val="false"/>
          <w:u w:val="none"/>
          <w:effect w:val="none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LO-normal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10 - CONTRATAÇÕES CORRELATAS/INTERDEPENDENTES: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O último contrato realizado pela Prefeitura de Canoas no que se refere à dedetização trata-se do Contrato nº 79/2020 com a Empresa EMDF &amp; POSTIGLIONE SERVIÇOS DE MANUTENÇÃO PREDIAL LTDA, tendo chegado ao fim em 25 de março de 2023. 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11 - DEMONSTRATIVO DA PREVISÃO DA CONTRATAÇÃO NO PLANO ANUAL DE CONTRATAÇÃO – PAC: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presente aquisição está alinhada aos objetivos estratégicos da Secretaria Municipal de Saúde, bem como das demais Secretarias. Essa iniciativa reforça o compromisso com a qualidade e eficiência dos serviços prestados, bem como com a adequada infraestrutura necessária para atender às demandas da comunidade.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Adicionalmente, é importante destacar que a contratação está plenamente alinhada com o orçamento previamente estabelecido e o Plano Anual de Contratações da Secretaria Municipal de Saúde. Essa coerência entre os objetivos, recursos financeiros disponíveis e planejamento estratégico reforça a responsabilidade fiscal e a efetividade na execução das ações propostas.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12 - DEMONSTRAÇÃO DOS RESULTADOS PRETENDIDOS: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 presente processo objetiva a melhora do atendimento aos usuários e a qualificação do serviço, que serão almejadas através da redução dos riscos sanitários nas unidades municipais, da manutenção da salubridade e higiene dos ambientes e da prevenção de doenças transmitidas por vetores. Além disso, busca-se a proteção estrutural dos prédios públicos, bem como o controle intensivo em áreas com maior risco biológico (p.ex. SMBEA). Por fim, a garantia da continuidade dos serviços ao longo do exercício e o atendimento rápido a emergências representam fatores determinantes para a eficiência operacional das Secretarias envolvidas.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Nesse contexto, os resultados pretendidos incluem também a melhoria das condições de trabalho das equipes, a redução de eventos críticos que demandariam intervenções corretivas mais onerosas, e a promoção de ambientes mais seguros, acolhedores e adequados ao atendimento da população. Espera-se, ainda, que a execução regular e qualificada dos serviços contribua para a elevação dos indicadores de qualidade, maior satisfação dos usuários e otimização dos recursos públicos, uma vez que ações preventivas reduzem custos decorrentes de infestações, danos estruturais e paralisações de atividades.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Assim, os resultados projetados não se limitam ao controle imediato de pragas, mas abrangem um impacto positivo amplo, contínuo e estratégico, fortalecendo a capacidade da Administração Municipal de oferecer serviços com maior segurança, eficiência e responsabilidade sanitária.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13 - PROVIDÊNCIAS PRÉVIAS AO CONTRATO: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Não há necessidade de adequações estruturais ou logísticas prévias.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14 – PLANEJAMENTO E POSSÍVEIS IMPACTOS AMBIENTAIS: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 planejamento das ações de desratização, desinsetização e controle de vetores deve considerar simultaneamente a eficácia do serviço e a mitigação de eventuais impactos ambientais decorrentes do uso de produtos químicos e do manejo de resíduos. A execução contratual demanda uma abordagem integrada e preventiva, capaz de reduzir riscos ao meio ambiente, à saúde humana e aos ecossistemas urbanos. Para isso, fundamenta-se no Controle Integrado de Pragas, priorizando métodos preventivos e não químicos sempre que possível, bem como o uso racional de insumos, aplicados apenas quando estritamente necessário e de forma direcionada, com preferência por produtos de menor toxicidade e devidamente regularizados pelos órgãos competentes. Também se prevê a execução das atividades em horários adequados, de modo a evitar exposição indevida, aliada à capacitação das equipes responsáveis, conforme normas de segurança e regulamentações sanitárias.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Embora existam potenciais impactos negativos — como risco de contaminação do solo e da água, emissão de vapores, exposição de fauna urbana e geração de resíduos perigosos — esses efeitos podem ser amplamente controlados mediante práticas adequadas de manejo, descarte ambientalmente correto e observância rigorosa dos protocolos de segurança. Em contrapartida, a contratação traz benefícios relevantes, como a redução de agentes transmissores de doenças, a melhoria das condições higiênico-sanitárias, a proteção das estruturas físicas e a prevenção de infestações que poderiam demandar intervenções mais agressivas no futuro.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As medidas mitigadoras incluem o cumprimento das normas de destinação de resíduos e embalagens, o uso adequado de EPIs, a implantação efetiva do Plano de Controle Integrado de Pragas e o registro detalhado dos produtos utilizados e das áreas tratadas, assegurando rastreabilidade e transparência. Dessa forma, o conjunto de ações planejadas permite que os impactos ambientais sejam minimizados, ao mesmo tempo em que se ampliam os efeitos positivos sobre a saúde pública, garantindo um ambiente mais seguro para servidores, usuários e animais sob responsabilidade do Município.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360" w:before="20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15 - VIABILIDADE DA CONTRATAÇÃO: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contratação é tecnicamente necessária, operacionalmente viável e justificável.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Everton Alexandre Gonçalves dos Santos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Matrícula nº 12</w:t>
      </w:r>
      <w:r>
        <w:rPr>
          <w:rFonts w:eastAsia="Times New Roman" w:cs="Times New Roman" w:ascii="Times New Roman" w:hAnsi="Times New Roman"/>
          <w:sz w:val="24"/>
          <w:szCs w:val="24"/>
        </w:rPr>
        <w:t>8292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Responsável pela elaboração do Estudo Técnico Preliminar</w:t>
      </w:r>
    </w:p>
    <w:p>
      <w:pPr>
        <w:pStyle w:val="LO-normal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hanging="0" w:left="0" w:right="0"/>
        <w:jc w:val="center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Secretaria Municipal de Saúde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2" w:gutter="0" w:header="850" w:top="2041" w:footer="454" w:bottom="147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OpenSymbol">
    <w:altName w:val="Arial Unicode MS"/>
    <w:charset w:val="02"/>
    <w:family w:val="auto"/>
    <w:pitch w:val="default"/>
    <w:embedRegular r:id="rId14" w:fontKey="{0E014A78-CABC-4EF0-12AC-5CD89AEFDE0E}"/>
  </w:font>
  <w:font w:name="Liberation Sans">
    <w:altName w:val="Arial"/>
    <w:charset w:val="0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Google Sans">
    <w:altName w:val="Arial"/>
    <w:charset w:val="00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keepNext w:val="false"/>
      <w:keepLines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keepNext w:val="false"/>
      <w:keepLines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hanging="0" w:left="0" w:right="0"/>
      <w:jc w:val="lef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tbl>
    <w:tblPr>
      <w:tblStyle w:val="Table13"/>
      <w:tblW w:w="6447" w:type="dxa"/>
      <w:jc w:val="left"/>
      <w:tblInd w:w="-15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929"/>
      <w:gridCol w:w="5517"/>
    </w:tblGrid>
    <w:tr>
      <w:trPr>
        <w:tblHeader w:val="true"/>
        <w:trHeight w:val="1324" w:hRule="atLeast"/>
      </w:trPr>
      <w:tc>
        <w:tcPr>
          <w:tcW w:w="929" w:type="dxa"/>
          <w:tcBorders/>
          <w:shd w:fill="auto" w:val="clear"/>
        </w:tcPr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10" w:after="32"/>
            <w:ind w:hanging="0" w:left="0" w:right="0"/>
            <w:jc w:val="center"/>
            <w:rPr>
              <w:rFonts w:ascii="Liberation Serif" w:hAnsi="Liberation Serif" w:eastAsia="Liberation Serif" w:cs="Liberation Serif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571500" cy="809625"/>
                <wp:effectExtent l="0" t="0" r="0" b="0"/>
                <wp:docPr id="1" name="image1.png" descr="Uma imagem contendo 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 descr="Uma imagem contendo 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17" w:type="dxa"/>
          <w:tcBorders/>
          <w:shd w:fill="auto" w:val="clear"/>
        </w:tcPr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0" w:after="0"/>
            <w:ind w:hanging="0" w:left="240" w:right="0"/>
            <w:jc w:val="left"/>
            <w:rPr>
              <w:rFonts w:ascii="Liberation Serif" w:hAnsi="Liberation Serif" w:eastAsia="Liberation Serif" w:cs="Liberation Serif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 w:ascii="Times New Roman" w:hAnsi="Times New Roman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ESTADO DO RIO GRANDE DO SUL</w:t>
          </w:r>
        </w:p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0" w:after="0"/>
            <w:ind w:hanging="0" w:left="240" w:right="0"/>
            <w:jc w:val="left"/>
            <w:rPr>
              <w:rFonts w:ascii="Liberation Serif" w:hAnsi="Liberation Serif" w:eastAsia="Liberation Serif" w:cs="Liberation Serif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 w:ascii="Times New Roman" w:hAnsi="Times New Roman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MUNICÍPIO DE CANOAS</w:t>
          </w:r>
        </w:p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0" w:after="0"/>
            <w:ind w:hanging="0" w:left="240" w:right="0"/>
            <w:jc w:val="left"/>
            <w:rPr>
              <w:rFonts w:ascii="Liberation Serif" w:hAnsi="Liberation Serif" w:eastAsia="Liberation Serif" w:cs="Liberation Serif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 w:ascii="Times New Roman" w:hAnsi="Times New Roman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Secretaria Municipal de Licitações e Contratos</w:t>
          </w:r>
        </w:p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0" w:after="0"/>
            <w:ind w:hanging="0" w:left="0" w:right="0"/>
            <w:jc w:val="left"/>
            <w:rPr>
              <w:rFonts w:ascii="Times New Roman" w:hAnsi="Times New Roman" w:eastAsia="Times New Roman" w:cs="Times New Roman"/>
              <w:b/>
              <w:bCs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 w:ascii="Times New Roman" w:hAnsi="Times New Roman"/>
              <w:b/>
              <w:bCs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r>
        </w:p>
      </w:tc>
    </w:tr>
  </w:tbl>
  <w:p>
    <w:pPr>
      <w:pStyle w:val="LO-normal"/>
      <w:keepNext w:val="false"/>
      <w:keepLines/>
      <w:pageBreakBefore w:val="false"/>
      <w:widowControl w:val="false"/>
      <w:pBdr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left="0" w:right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red"/>
        <w:u w:val="none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red"/>
        <w:u w:val="none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hanging="0" w:left="0" w:right="0"/>
      <w:jc w:val="lef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  <w:tbl>
    <w:tblPr>
      <w:tblStyle w:val="Table13"/>
      <w:tblW w:w="6447" w:type="dxa"/>
      <w:jc w:val="left"/>
      <w:tblInd w:w="-15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929"/>
      <w:gridCol w:w="5517"/>
    </w:tblGrid>
    <w:tr>
      <w:trPr>
        <w:tblHeader w:val="true"/>
        <w:trHeight w:val="1324" w:hRule="atLeast"/>
      </w:trPr>
      <w:tc>
        <w:tcPr>
          <w:tcW w:w="929" w:type="dxa"/>
          <w:tcBorders/>
          <w:shd w:fill="auto" w:val="clear"/>
        </w:tcPr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10" w:after="32"/>
            <w:ind w:hanging="0" w:left="0" w:right="0"/>
            <w:jc w:val="center"/>
            <w:rPr>
              <w:rFonts w:ascii="Liberation Serif" w:hAnsi="Liberation Serif" w:eastAsia="Liberation Serif" w:cs="Liberation Serif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/>
            <w:drawing>
              <wp:inline distT="0" distB="0" distL="0" distR="0">
                <wp:extent cx="571500" cy="809625"/>
                <wp:effectExtent l="0" t="0" r="0" b="0"/>
                <wp:docPr id="2" name="image1.png" descr="Uma imagem contendo 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descr="Uma imagem contendo 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17" w:type="dxa"/>
          <w:tcBorders/>
          <w:shd w:fill="auto" w:val="clear"/>
        </w:tcPr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0" w:after="0"/>
            <w:ind w:hanging="0" w:left="240" w:right="0"/>
            <w:jc w:val="left"/>
            <w:rPr>
              <w:rFonts w:ascii="Liberation Serif" w:hAnsi="Liberation Serif" w:eastAsia="Liberation Serif" w:cs="Liberation Serif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 w:ascii="Times New Roman" w:hAnsi="Times New Roman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ESTADO DO RIO GRANDE DO SUL</w:t>
          </w:r>
        </w:p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0" w:after="0"/>
            <w:ind w:hanging="0" w:left="240" w:right="0"/>
            <w:jc w:val="left"/>
            <w:rPr>
              <w:rFonts w:ascii="Liberation Serif" w:hAnsi="Liberation Serif" w:eastAsia="Liberation Serif" w:cs="Liberation Serif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 w:ascii="Times New Roman" w:hAnsi="Times New Roman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MUNICÍPIO DE CANOAS</w:t>
          </w:r>
        </w:p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0" w:after="0"/>
            <w:ind w:hanging="0" w:left="240" w:right="0"/>
            <w:jc w:val="left"/>
            <w:rPr>
              <w:rFonts w:ascii="Liberation Serif" w:hAnsi="Liberation Serif" w:eastAsia="Liberation Serif" w:cs="Liberation Serif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 w:ascii="Times New Roman" w:hAnsi="Times New Roman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Secretaria Municipal de Licitações e Contratos</w:t>
          </w:r>
        </w:p>
        <w:p>
          <w:pPr>
            <w:pStyle w:val="LO-normal"/>
            <w:keepNext w:val="false"/>
            <w:keepLines w:val="false"/>
            <w:widowControl/>
            <w:pBdr/>
            <w:shd w:val="clear" w:fill="auto"/>
            <w:spacing w:lineRule="auto" w:line="240" w:before="0" w:after="0"/>
            <w:ind w:hanging="0" w:left="0" w:right="0"/>
            <w:jc w:val="left"/>
            <w:rPr>
              <w:rFonts w:ascii="Times New Roman" w:hAnsi="Times New Roman" w:eastAsia="Times New Roman" w:cs="Times New Roman"/>
              <w:b/>
              <w:bCs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 w:ascii="Times New Roman" w:hAnsi="Times New Roman"/>
              <w:b/>
              <w:bCs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r>
        </w:p>
      </w:tc>
    </w:tr>
  </w:tbl>
  <w:p>
    <w:pPr>
      <w:pStyle w:val="LO-normal"/>
      <w:keepNext w:val="false"/>
      <w:keepLines/>
      <w:pageBreakBefore w:val="false"/>
      <w:widowControl w:val="false"/>
      <w:pBdr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left="0" w:right="0"/>
      <w:jc w:val="righ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red"/>
        <w:u w:val="none"/>
        <w:vertAlign w:val="baseline"/>
      </w:rPr>
    </w:pPr>
    <w:r>
      <w:rPr>
        <w:rFonts w:eastAsia="Arial" w:cs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highlight w:val="red"/>
        <w:u w:val="none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spacing w:lineRule="auto" w:line="240" w:before="220" w:after="40"/>
    </w:pPr>
    <w:rPr>
      <w:b/>
      <w:bCs/>
    </w:rPr>
  </w:style>
  <w:style w:type="paragraph" w:styleId="Heading6">
    <w:name w:val="heading 6"/>
    <w:basedOn w:val="normal1"/>
    <w:next w:val="normal1"/>
    <w:qFormat/>
    <w:pPr>
      <w:keepNext w:val="tru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comentrioChar" w:customStyle="1">
    <w:name w:val="Texto de comentário Char"/>
    <w:basedOn w:val="DefaultParagraphFont"/>
    <w:uiPriority w:val="99"/>
    <w:semiHidden/>
    <w:qFormat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CabealhoChar" w:customStyle="1">
    <w:name w:val="Cabeçalho Char"/>
    <w:basedOn w:val="DefaultParagraphFont"/>
    <w:uiPriority w:val="99"/>
    <w:qFormat/>
    <w:rsid w:val="004f0a4d"/>
    <w:rPr/>
  </w:style>
  <w:style w:type="character" w:styleId="RodapChar" w:customStyle="1">
    <w:name w:val="Rodapé Char"/>
    <w:basedOn w:val="DefaultParagraphFont"/>
    <w:uiPriority w:val="99"/>
    <w:qFormat/>
    <w:rsid w:val="004f0a4d"/>
    <w:rPr/>
  </w:style>
  <w:style w:type="character" w:styleId="Strong">
    <w:name w:val="Strong"/>
    <w:basedOn w:val="DefaultParagraphFont"/>
    <w:uiPriority w:val="22"/>
    <w:qFormat/>
    <w:rsid w:val="00ef2fe8"/>
    <w:rPr>
      <w:b/>
      <w:bCs/>
    </w:rPr>
  </w:style>
  <w:style w:type="character" w:styleId="nfaseuser">
    <w:name w:val="Ênfase (user)"/>
    <w:basedOn w:val="DefaultParagraphFont"/>
    <w:uiPriority w:val="20"/>
    <w:qFormat/>
    <w:rsid w:val="009e7df2"/>
    <w:rPr>
      <w:i/>
      <w:iCs/>
    </w:rPr>
  </w:style>
  <w:style w:type="character" w:styleId="LinkdaInternetuser">
    <w:name w:val="Link da Internet (user)"/>
    <w:basedOn w:val="DefaultParagraphFont"/>
    <w:uiPriority w:val="99"/>
    <w:semiHidden/>
    <w:unhideWhenUsed/>
    <w:qFormat/>
    <w:rsid w:val="00394aba"/>
    <w:rPr>
      <w:color w:val="0000FF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1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spacing w:lineRule="auto" w:line="240" w:before="480" w:after="120"/>
    </w:pPr>
    <w:rPr>
      <w:b/>
      <w:bCs/>
      <w:sz w:val="72"/>
      <w:szCs w:val="72"/>
    </w:rPr>
  </w:style>
  <w:style w:type="paragraph" w:styleId="Ttulouser">
    <w:name w:val="Título (user)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user">
    <w:name w:val="Índice (user)"/>
    <w:basedOn w:val="normal1"/>
    <w:qFormat/>
    <w:pPr>
      <w:suppressLineNumbers/>
    </w:pPr>
    <w:rPr>
      <w:rFonts w:cs="Mangal"/>
    </w:rPr>
  </w:style>
  <w:style w:type="paragraph" w:styleId="LO-normal" w:default="1">
    <w:name w:val="LO-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CommentText">
    <w:name w:val="annotation text"/>
    <w:basedOn w:val="LO-normal"/>
    <w:link w:val="TextodecomentrioChar"/>
    <w:uiPriority w:val="99"/>
    <w:semiHidden/>
    <w:unhideWhenUsed/>
    <w:qFormat/>
    <w:pPr/>
    <w:rPr>
      <w:sz w:val="20"/>
      <w:szCs w:val="20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LO-normal"/>
    <w:link w:val="CabealhoChar"/>
    <w:uiPriority w:val="99"/>
    <w:unhideWhenUsed/>
    <w:rsid w:val="004f0a4d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LO-normal"/>
    <w:link w:val="RodapChar"/>
    <w:uiPriority w:val="99"/>
    <w:unhideWhenUsed/>
    <w:rsid w:val="004f0a4d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LO-normal"/>
    <w:uiPriority w:val="34"/>
    <w:qFormat/>
    <w:rsid w:val="004f0a4d"/>
    <w:pPr>
      <w:spacing w:before="0" w:after="0"/>
      <w:ind w:hanging="0" w:left="720"/>
      <w:contextualSpacing/>
    </w:pPr>
    <w:rPr/>
  </w:style>
  <w:style w:type="paragraph" w:styleId="NormalWeb">
    <w:name w:val="Normal (Web)"/>
    <w:basedOn w:val="LO-normal"/>
    <w:uiPriority w:val="99"/>
    <w:unhideWhenUsed/>
    <w:qFormat/>
    <w:rsid w:val="004f0a4d"/>
    <w:pPr>
      <w:keepLines w:val="false"/>
      <w:widowControl/>
      <w:spacing w:lineRule="auto" w:line="288" w:beforeAutospacing="1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Subtitle">
    <w:name w:val="Subtitle"/>
    <w:basedOn w:val="normal1"/>
    <w:next w:val="normal1"/>
    <w:qFormat/>
    <w:pPr>
      <w:keepNext w:val="tru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Blocodecitao">
    <w:name w:val="Bloco de citação"/>
    <w:basedOn w:val="Normal"/>
    <w:qFormat/>
    <w:pPr>
      <w:spacing w:before="0" w:after="283"/>
      <w:ind w:hanging="0" w:left="567" w:right="567"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31634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vGHWjf3N6fLAR1k/LTnJXKHp1zA==">CgMxLjAaHwoBMBIaChgICVIUChJ0YWJsZS42eWNicnZxNjc3OWUaHwoBMRIaChgICVIUChJ0YWJsZS5xYncwNW16NjJtcTcaHwoBMhIaChgICVIUChJ0YWJsZS5iOXRieGx5aDI5NTEaHwoBMxIaChgICVIUChJ0YWJsZS40b2djb2Y2a3I5eWcaHwoBNBIaChgICVIUChJ0YWJsZS4xOTZmMHhkMno4ZHgaHwoBNRIaChgICVIUChJ0YWJsZS55MGp2YnVwdzgxNGU4AHIhMVNUc3dqSDBhWlUyT2tuQWNfQXA4bUJGcGlSemtTY0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LibreOffice/25.2.7.2$Windows_X86_64 LibreOffice_project/5cbfd1ab6520636bb5f7b99185aa69bd7456825d</Application>
  <AppVersion>15.0000</AppVersion>
  <Pages>13</Pages>
  <Words>3179</Words>
  <Characters>16925</Characters>
  <CharactersWithSpaces>19275</CharactersWithSpaces>
  <Paragraphs>588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2023-10-20T13:06:00Z</dcterms:created>
  <dc:creator>Michele Oliveira</dc:creator>
  <dc:description/>
  <dc:language>pt-BR</dc:language>
  <cp:lastModifiedBy/>
  <dcterms:modified xsi:type="dcterms:W3CDTF">2026-05-04T18:04:38Z</dcterms:modified>
  <cp:revision>1</cp:revision>
  <dc:subject/>
  <dc:title/>
</cp:coreProperties>
</file>