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Lines w:val="false"/>
        <w:spacing w:lineRule="auto" w:line="360" w:before="200" w:after="0"/>
        <w:rPr>
          <w:rFonts w:ascii="Times New Roman" w:hAnsi="Times New Roman"/>
          <w:sz w:val="24"/>
          <w:szCs w:val="24"/>
        </w:rPr>
      </w:pPr>
      <w:r>
        <w:rPr>
          <w:rFonts w:eastAsia="Times New Roman" w:cs="Times New Roman" w:ascii="Times New Roman" w:hAnsi="Times New Roman"/>
          <w:b/>
          <w:bCs/>
          <w:sz w:val="24"/>
          <w:szCs w:val="24"/>
        </w:rPr>
        <w:t>ESTUDO TÉCNICO PRELIMINAR – LEI 14.133/2021</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1 - INFORMAÇÕES BÁSICAS: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Secretaria Requisitante: Secretaria Municipal da Saúde.</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 xml:space="preserve">Processo SEI: </w:t>
      </w:r>
      <w:r>
        <w:rPr>
          <w:rFonts w:eastAsia="Times New Roman" w:cs="Times New Roman" w:ascii="Times New Roman" w:hAnsi="Times New Roman"/>
          <w:color w:val="000000"/>
          <w:sz w:val="24"/>
          <w:szCs w:val="24"/>
        </w:rPr>
        <w:t>26.0.000028003-7</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2 -SERVIDOR RESPONSÁVEL PELO PLANEJAMENTO: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Nome: Paulo da Silva Junior</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Matrícula: 101558</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3 - DESCRIÇÃO DA NECESSIDADE DA CONTRATAÇÃO: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 presente contratação visa respaldar a abertura de novo processo licitatório na modalidade Registro de Preços, com o objetivo de garantir o abastecimento contínuo de medicamentos que integram a Relação Municipal de Medicamentos Essenciais (REMUME), especificamente aqueles que restaram desertos, não adjudicados ou parcialmente adjudicados no Edital nº 187/2025.</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Conforme demonstrado na publicação oficial do certame e consolidado na planilha anexa a este Estudo Técnico Preliminar, diversos itens não obtiveram proposta válida (“SEM COTAÇÃO”), enquanto outros permaneceram pendentes de adjudicação, sobretudo nas cotas principais destinadas à ampla participação.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Ressalta-se que, nos casos em que houve adjudicação exclusivamente da cota reservada (25% do quantitativo total), tal volume não se mostra suficiente para suprir a demanda anual da rede municipal de saúde, considerando o consumo histórico e a necessidade de abastecimento contínuo das Farmácias Básicas Distritais, Unidades Básicas de Saúde (UBSs) e Farmácia do Serviço de Atendimento Especializado (SAE).</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Dessa forma, torna-se necessária a realização de novo procedimento licitatório para cobertura integral da demanda, contemplando: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 os itens totalmente desertos (SEM COTAÇÃO em todas as cotas);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 os itens cuja cota principal (75% do quantitativo) restou deserta ou pendente;</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 os itens cuja adjudicação parcial (apenas cota reservada) não assegura o abastecimento anual adequado.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 ausência de contratação desses medicamentos compromete diretamente a continuidade da assistência farmacêutica, podendo resultar em desabastecimento, interrupção de tratamentos e agravamento de quadros clínicos, com consequente aumento da demanda por serviços de urgência e internações hospitalares.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Assim, a nova contratação se mostra imprescindível para garantir a regularidade do fornecimento, a segurança terapêutica dos usuários do Sistema Único de Saúde (SUS) e a efetividade das políticas públicas de saúde no âmbito do Município de Canoas.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4 - DESCRIÇÃO DOS REQUISITOS PARA A CONTRATAÇÃO: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4.1. comprovação de aptidão para o fornecimento em características, quantidades e prazos compatíveis com o objeto desta licitação, ou com o item pertinente, mediante a apresentação de atestado fornecido por pessoas jurídicas de direito público ou privado;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 xml:space="preserve">4.2. os atestados deverão referir-se a fornecimentos no âmbito de sua atividade econômica principal ou secundária especificadas no contrato social vigente. </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4.3. Certificado de Registro específico de medicamentos, por sua vez emitido pela Secretaria de Vigilância Sanitária, para os itens em que a legislação exige. Publicado e dentro da validade. Ainda, se for apresentada cópia da publicação no DOU, a licitante deverá grifar com caneta marca texto, bem como indicar a qual item se refere o documento para facilitar a visualização e o julgamento.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4.4 Comprovação da Autorização de Funcionamento – (Certidão e/ou da publicação do D.O.U.).</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 xml:space="preserve">4.5 As empresas que cotarem medicamentos comuns deverão apresentar a AFE para medicamentos comuns e as empresas que cotarem medicamentos controlados deverão apresentar AFE para medicamentos especiais. </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5 - LEVANTAMENTO DE MERCADO: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 análise de mercado demonstra a existência de diversas empresas especializadas no fornecimento de medicamentos essenciais que integram a Relação Municipal de Medicamentos Essenciais (REMUME), evidenciando, em regra, a viabilidade de competição para os itens que compõem a assistência farmacêutica municipal. A ampla variedade de apresentações farmacêuticas e a presença de múltiplos fabricantes e distribuidores no mercado nacional reforçam esse cenário competitivo.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Entretanto, conforme verificado no resultado do Edital nº 187/2025, observou-se a ocorrência de itens que não obtiveram propostas válidas (SEM COTAÇÃO), bem como itens cuja adjudicação ocorreu de forma parcial, especialmente nos casos em que houve atendimento exclusivo da cota reservada, correspondente a 25% do quantitativo total, permanecendo a cota principal (75%) deserta ou pendente.</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Tal situação evidencia que, embora o mercado apresente oferta para a maioria dos medicamentos, determinados itens possuem menor atratividade comercial ou características específicas que impactam diretamente na competitividade, resultando em falhas na contratação e comprometendo o abastecimento integral da rede municipal de saúde.</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Diante desse cenário, optou-se pela realização de novo procedimento licitatório, por meio do Sistema de Registro de Preços estruturado por item, estratégia que possibilita ampliar a competitividade, atrair maior número de fornecedores e aumentar a probabilidade de adjudicação integral dos itens. Além disso, essa modelagem permite maior flexibilidade operacional e logística, garantindo a continuidade do abastecimento das Farmácias Básicas Distritais, Unidades Básicas de Saúde (UBSs) e Farmácia do Serviço de Atendimento Especializado (SAE), assegurando o atendimento eficiente e ininterrupto aos usuários do Sistema Único de Saúde (SUS).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6 - DESCRIÇÃO DA SOLUÇÃO COMO UM TODO: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Por se tratar de Registro de Preços para aquisição de medicamentos essenciais, distribuídos por itens, compreende-se que a contratação estruturada por item atende de forma mais eficiente às necessidades da Administração, permitindo maior competitividade, flexibilidade na aquisição conforme a demanda e mitigação de riscos de desabastecimento.</w:t>
      </w:r>
      <w:r>
        <w:rPr>
          <w:rFonts w:eastAsia="Times New Roman" w:cs="Times New Roman" w:ascii="Times New Roman" w:hAnsi="Times New Roman"/>
          <w:sz w:val="24"/>
          <w:szCs w:val="24"/>
          <w:highlight w:val="white"/>
        </w:rPr>
        <w:t xml:space="preserve"> </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7 - ESTIMATIVA DAS QUANTIDADES A SEREM CONTRATADAS:</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 xml:space="preserve">Os quantitativos estimados para esta contratação foram determinados com base no histórico de consumo anterior, conforme detalhamento abaixo. </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Adicionalmente, conforme detalhamento constante no Anexo I deste Estudo Técnico Preliminar, foram considerados os quantitativos correspondentes às cotas principais (75%) não adjudicadas, bem como a soma das cotas principal e reservada nos casos em que ambas restaram desertas, de modo a assegurar a cobertura integral da demanda anual da rede municipal de saúde.</w:t>
      </w:r>
    </w:p>
    <w:p>
      <w:pPr>
        <w:pStyle w:val="normal1"/>
        <w:rPr>
          <w:rFonts w:ascii="Times New Roman" w:hAnsi="Times New Roman"/>
          <w:sz w:val="24"/>
          <w:szCs w:val="24"/>
        </w:rPr>
      </w:pPr>
      <w:r>
        <w:rPr>
          <w:rFonts w:ascii="Times New Roman" w:hAnsi="Times New Roman"/>
          <w:sz w:val="24"/>
          <w:szCs w:val="24"/>
        </w:rPr>
      </w:r>
    </w:p>
    <w:p>
      <w:pPr>
        <w:pStyle w:val="normal1"/>
        <w:rPr>
          <w:rFonts w:ascii="Times New Roman" w:hAnsi="Times New Roman"/>
          <w:sz w:val="24"/>
          <w:szCs w:val="24"/>
        </w:rPr>
      </w:pPr>
      <w:r>
        <w:rPr>
          <w:rFonts w:ascii="Times New Roman" w:hAnsi="Times New Roman"/>
          <w:sz w:val="24"/>
          <w:szCs w:val="24"/>
        </w:rPr>
      </w:r>
    </w:p>
    <w:p>
      <w:pPr>
        <w:pStyle w:val="normal1"/>
        <w:rPr>
          <w:rFonts w:ascii="Times New Roman" w:hAnsi="Times New Roman"/>
          <w:sz w:val="24"/>
          <w:szCs w:val="24"/>
        </w:rPr>
      </w:pPr>
      <w:r>
        <w:rPr>
          <w:rFonts w:ascii="Times New Roman" w:hAnsi="Times New Roman"/>
          <w:sz w:val="24"/>
          <w:szCs w:val="24"/>
        </w:rPr>
      </w:r>
    </w:p>
    <w:p>
      <w:pPr>
        <w:pStyle w:val="normal1"/>
        <w:rPr>
          <w:rFonts w:ascii="Times New Roman" w:hAnsi="Times New Roman"/>
          <w:sz w:val="24"/>
          <w:szCs w:val="24"/>
        </w:rPr>
      </w:pPr>
      <w:r>
        <w:rPr>
          <w:rFonts w:ascii="Times New Roman" w:hAnsi="Times New Roman"/>
          <w:sz w:val="24"/>
          <w:szCs w:val="24"/>
        </w:rPr>
      </w:r>
    </w:p>
    <w:p>
      <w:pPr>
        <w:pStyle w:val="normal1"/>
        <w:rPr>
          <w:rFonts w:ascii="Times New Roman" w:hAnsi="Times New Roman"/>
          <w:b/>
          <w:bCs/>
          <w:sz w:val="24"/>
          <w:szCs w:val="24"/>
        </w:rPr>
      </w:pPr>
      <w:r>
        <w:rPr>
          <w:rFonts w:ascii="Times New Roman" w:hAnsi="Times New Roman"/>
          <w:b/>
          <w:bCs/>
          <w:sz w:val="24"/>
          <w:szCs w:val="24"/>
        </w:rPr>
      </w:r>
    </w:p>
    <w:p>
      <w:pPr>
        <w:pStyle w:val="normal1"/>
        <w:rPr>
          <w:rFonts w:ascii="Times New Roman" w:hAnsi="Times New Roman"/>
          <w:b/>
          <w:bCs/>
          <w:sz w:val="24"/>
          <w:szCs w:val="24"/>
        </w:rPr>
      </w:pPr>
      <w:r>
        <w:rPr>
          <w:rFonts w:ascii="Times New Roman" w:hAnsi="Times New Roman"/>
          <w:b/>
          <w:bCs/>
          <w:sz w:val="24"/>
          <w:szCs w:val="24"/>
        </w:rPr>
      </w:r>
    </w:p>
    <w:p>
      <w:pPr>
        <w:pStyle w:val="normal1"/>
        <w:rPr>
          <w:rFonts w:ascii="Times New Roman" w:hAnsi="Times New Roman"/>
          <w:sz w:val="24"/>
          <w:szCs w:val="24"/>
        </w:rPr>
      </w:pPr>
      <w:r>
        <w:rPr>
          <w:rFonts w:ascii="Times New Roman" w:hAnsi="Times New Roman"/>
          <w:b/>
          <w:bCs/>
          <w:sz w:val="24"/>
          <w:szCs w:val="24"/>
        </w:rPr>
        <w:t>JUSTIFICATIVA DO QUANTITATIVOS DOS ÚLTIMOS 4 ANOS DE CONSUMO</w:t>
      </w:r>
      <w:r>
        <w:rPr>
          <w:rFonts w:ascii="Times New Roman" w:hAnsi="Times New Roman"/>
          <w:sz w:val="24"/>
          <w:szCs w:val="24"/>
        </w:rPr>
        <w:t>:</w:t>
      </w:r>
    </w:p>
    <w:p>
      <w:pPr>
        <w:pStyle w:val="normal1"/>
        <w:rPr>
          <w:rFonts w:ascii="Times New Roman" w:hAnsi="Times New Roman"/>
          <w:sz w:val="24"/>
          <w:szCs w:val="24"/>
        </w:rPr>
      </w:pPr>
      <w:r>
        <w:rPr>
          <w:rFonts w:ascii="Times New Roman" w:hAnsi="Times New Roman"/>
          <w:sz w:val="24"/>
          <w:szCs w:val="24"/>
        </w:rPr>
      </w:r>
    </w:p>
    <w:tbl>
      <w:tblPr>
        <w:tblStyle w:val="Table1"/>
        <w:tblW w:w="10783" w:type="dxa"/>
        <w:jc w:val="left"/>
        <w:tblInd w:w="-714" w:type="dxa"/>
        <w:tblLayout w:type="fixed"/>
        <w:tblCellMar>
          <w:top w:w="0" w:type="dxa"/>
          <w:left w:w="103" w:type="dxa"/>
          <w:bottom w:w="0" w:type="dxa"/>
          <w:right w:w="108" w:type="dxa"/>
        </w:tblCellMar>
        <w:tblLook w:val="0400"/>
      </w:tblPr>
      <w:tblGrid>
        <w:gridCol w:w="4110"/>
        <w:gridCol w:w="1843"/>
        <w:gridCol w:w="1822"/>
        <w:gridCol w:w="1580"/>
        <w:gridCol w:w="1428"/>
      </w:tblGrid>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b/>
                <w:bCs/>
                <w:sz w:val="24"/>
                <w:szCs w:val="24"/>
              </w:rPr>
              <w:t>MEDICAMENTO</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tcPr>
          <w:p>
            <w:pPr>
              <w:pStyle w:val="normal1"/>
              <w:rPr>
                <w:rFonts w:ascii="Times New Roman" w:hAnsi="Times New Roman"/>
                <w:sz w:val="24"/>
                <w:szCs w:val="24"/>
              </w:rPr>
            </w:pPr>
            <w:r>
              <w:rPr>
                <w:rFonts w:ascii="Times New Roman" w:hAnsi="Times New Roman"/>
                <w:b/>
                <w:bCs/>
                <w:sz w:val="24"/>
                <w:szCs w:val="24"/>
              </w:rPr>
              <w:t>CONSUMO CAF 2022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tcPr>
          <w:p>
            <w:pPr>
              <w:pStyle w:val="normal1"/>
              <w:jc w:val="center"/>
              <w:rPr>
                <w:rFonts w:ascii="Times New Roman" w:hAnsi="Times New Roman"/>
                <w:sz w:val="24"/>
                <w:szCs w:val="24"/>
              </w:rPr>
            </w:pPr>
            <w:r>
              <w:rPr>
                <w:rFonts w:ascii="Times New Roman" w:hAnsi="Times New Roman"/>
                <w:b/>
                <w:bCs/>
                <w:sz w:val="24"/>
                <w:szCs w:val="24"/>
              </w:rPr>
              <w:t>CONSUMO CAF 2023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tcPr>
          <w:p>
            <w:pPr>
              <w:pStyle w:val="normal1"/>
              <w:jc w:val="center"/>
              <w:rPr>
                <w:rFonts w:ascii="Times New Roman" w:hAnsi="Times New Roman"/>
                <w:sz w:val="24"/>
                <w:szCs w:val="24"/>
              </w:rPr>
            </w:pPr>
            <w:r>
              <w:rPr>
                <w:rFonts w:ascii="Times New Roman" w:hAnsi="Times New Roman"/>
                <w:b/>
                <w:bCs/>
                <w:sz w:val="24"/>
                <w:szCs w:val="24"/>
              </w:rPr>
              <w:t>CONSUMO CAF 2024</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tcPr>
          <w:p>
            <w:pPr>
              <w:pStyle w:val="normal1"/>
              <w:rPr>
                <w:rFonts w:ascii="Times New Roman" w:hAnsi="Times New Roman"/>
                <w:sz w:val="24"/>
                <w:szCs w:val="24"/>
              </w:rPr>
            </w:pPr>
            <w:r>
              <w:rPr>
                <w:rFonts w:ascii="Times New Roman" w:hAnsi="Times New Roman"/>
                <w:b/>
                <w:bCs/>
                <w:sz w:val="24"/>
                <w:szCs w:val="24"/>
              </w:rPr>
              <w:t>CONSUMO CAF 2025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ACICLOVIR 200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50260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105060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110500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146700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ACIDO ACETIL SALICILICO 100MG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586960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1650480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1245120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1606860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ACIDO FOLICO 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105240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103660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121160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91510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ÁCIDO FÓLICO 0,2 MG/ML SOLUÇÃO ORAL FRASCO 30 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1577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3733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3767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3892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ACIDO VALPROICO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933450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974050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1062500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1142600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ACIDO VALPROICO 250MG/5ML SOL.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10804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8163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9572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9585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ADRENALINA EPINEFRINA  1MG/ML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351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399</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305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AGUA DESTILADA 10 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7030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1624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3727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11683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ALBENDAZOL 40 MG/ML SUSP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1821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872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2922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ALENDRONATO DE SODIO 70 MG</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31364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39532</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31540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32424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AMINOFILINA 24MG/1ML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27</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AMITRIPTILINA 25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1940400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1821000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2151400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2378430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AMOXICILINA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292288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33432</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186457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203244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AMOXICILINA 500MG + CLAVULANATO DE POTÁSSIO 125MG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FALTA</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133236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246154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AMOXICILINA+CLAVULANATO DE POTÁSSIO 50MG/ML+12,5MG/ML SUSP.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4011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AMOXICILINA 250MG/5ML SUSP 150ML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2132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4600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3879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5865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ANLODIPINO 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2104300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1857700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1700980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1777320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ATENOLOL 50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440730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406005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341975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352020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ATROPINA SULFATO 0,25 MG/1ML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175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84</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116</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AZITROMICINA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45701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46254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68680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68670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BENZILPENICILINA BENZATINA 1.200.000 UI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10560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12046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10222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13845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BENZOILMETRONIDAZOL 40MG/ML SUSP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47</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BICARBONATO DE SODIO 8,4%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BIPERIDENO 2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369710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339360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319400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342600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CAPTOPRIL 25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497580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400980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306050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308580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CARBAMAZEPINA 20MG/1ML SUSP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4964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5845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3865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3485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CARBAMAZEPINA 200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985850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675720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1053730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1099140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CARBONATO DE CALCIO 500 MG  COLECALCIFEROL 400 UI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1496600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763900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1255200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1203540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CARBONATO DE LITIO 300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650175</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596558</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580940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767990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CEFALEXINA 250MG/5ML SUSP ORAL 60ML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3091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3621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3415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3563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CEFALEXINA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147800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196600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217210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216710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CIPROFLOXACINO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28632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44324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78734</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66366</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CLONIDINA 0,100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4110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3990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2550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3890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CLORETO DE POTÁSIO 10%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CLORETO DE SODIO 20%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39</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CLORPROMAZINA 100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625320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622680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573000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438200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CLORPROMAZINA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337000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380200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352000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462800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CLORPROMAZINA 40 MG/ML SOLUÇÃO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277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531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423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813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DEXAMETASONA 0,1% CREME</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3037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3558</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8081</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10029</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DEXAMETASONA 2 MG/1 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2821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3952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3812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DEXCLORFENIRAMINA 0,4 MG/ML XAROPE</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1449</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2767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4426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4301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DIAZEPAM 10 MG/2ML 5MG/ML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517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218</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930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DIAZEPAM 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694390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767050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787270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990260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DICLOFENACO SODICO 75 MG/3 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2235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7386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9683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DIGOXINA 0,25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46370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43060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35560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36480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DIPIRONA SODICA 500 MG/ 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1454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2273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5518</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7255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DIPIRONA SÓDICA 500 MG/ML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7364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4018</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9719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17541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DOXAZOSINA 2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30000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226080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409500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590070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DOXICICLINA 100 MG</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510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ENALAPRIL 10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1328880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1619500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2206400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2758500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ENALAPRIL 20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864520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1030500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1076120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1225000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ESCOPOLAMINA BUTILBROMETO 20MG/ML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1727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1615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1704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ESCOPOLAMINA|HIOSCINA 10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55290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36540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76080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68210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ESPIRAMICINA 500 MG 1500000UI</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528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ESPIRONOLACTONA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222360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381210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341130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444810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ESTROGENIOS CONJUGADOS 0,625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ESTRIOL 1MG/G CREME VAGINAL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103</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235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457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672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FENITOINA 100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181050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181800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136000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FENOBARBITAL 100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182600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231380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204540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217300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FENOBARBITAL 40 MG/ML SOLUÇÃO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1390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1106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1329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1591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FENOTEROL, BROMIDRATO 5MG/ML SOLUÇÃO PARA INALAÇÃO 20ML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FLUCONAZOL 150 MG</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11550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3690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FLUOXETINA 20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2914756</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3024350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2790760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2732968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FUROSEMIDA 10 MG/ML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662</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1269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1486</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FUROSEMIDA 40MG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494940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525040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343220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636810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GLIBENCLAMIDA 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740000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420000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490060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531140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GLICLAZIDA 30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76170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181920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243030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220000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GLICOSE 50%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381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570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332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HALOPERIDOL DECANOATO  50MG/ML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517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831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1002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1430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HALOPERIDOL 2 MG/ML SOLUÇÃO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1320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454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863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999</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HALOPERIDOL 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339330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337070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295800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320000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HALOPERIDOL 5 MG/ML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63</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231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HIDROCLOROTIAZIDA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680900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1338400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1592380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1431570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HIDROCORTISONA 500 MG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761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905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1396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1338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Hidrocortisona 10mg + Sulfato de Neomicina 5mg + Sulfato de Polimixina B 10.000 UI/ml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EXCLUSIVO ODONTO</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IBUPROFENO 50 MG/ML SOLUÇÃO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3346</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5199</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4071</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3484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IBUPROFENO 600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667740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622590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536360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632110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IMIPRAMINA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296200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297000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265840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280400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INSULINA NPH 10 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8928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7323</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6163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6863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INSULINA REGULAR 10 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1732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1517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1662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2111</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IPRATROPIO 0,25MG/ML  SOL INALACAO</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125</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ISOSSORBIDA 40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113900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84100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7620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99760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ISOSSORBIDA 5 MG CPR [SUBLINGUAL]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31410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24090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26240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34040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IVERMECTINA 6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6960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11180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12620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12208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LEVODOPA / CARBIDOPA 250MG / 25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3400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15200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23000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25600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LEVODOPA 100 MG / BENSERAZIDA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172410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303930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319020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373620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LEVODOPA 200 MG / BENSERAZIDA 50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106830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116100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120810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121710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LEVONORGESTREL  ETINILESTRADIOL 0,15 MG  0,03 MG CART</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5638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6445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4513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4444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LEVONORGESTREL 0,75 MG CARTELA COM 02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315</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281</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LEVOTIROXINA SODICA 25 MCG</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490800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548550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450240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586330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LEVOTIROXINA 50 MCG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797130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828360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867210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1078030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LORATADINA 1MG/ML XPE</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942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595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2453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2563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LORATADINA 10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75504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139320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187065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202755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MEDIDOR DE GLICEMIA</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565350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799400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405750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833450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MEDROXIPROGESTERONA, ACETATO 150 MG/ 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18230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23146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16285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21196</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METFORMINA 850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1686800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1048400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675000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1350600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METILDOPA 250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122290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126570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99680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130030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METOCLOPRAMIDA 10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42720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104550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126480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100080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METOCLOPRAMIDA 10 MG/2ML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482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1378</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2519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1663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METOCLOPRAMIDA 4MG/ML SOLUCAO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730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315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973</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METOPROLOL, SUCCINATO 50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272910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584430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639420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748260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METOPROLOL, TARTARATO 100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593070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455430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418500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442290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METRONIDAZOL 100MG/G GEL VAGINAL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967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540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1039</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1339</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METRONIDAZOL 250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68680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23080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53240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67900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MICONAZOL 2% OU 20MG/1G CREME VAGINAL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4072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1330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2928</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4595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NEOMICINA 5 MG  BACITRACINA 250 UI POMADA</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6347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2931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4490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6058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NISTATINA 100.000 UI/ML SUSP ORAL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3574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567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2340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4142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NORETISTERONA, ENANTATO 50 MG/ESTRADIOL, VALERATO 5 MG</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11971</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14905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16862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13662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NORETISTERONA 0,35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294</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336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OMEPRAZOL 20 MG CAP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2406132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2360840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2030880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1342376</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PARACETAMOL 200 MG/ML GTS</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5479</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6900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7407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8438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PARACETAMOL 500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536370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673684</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684560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667740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PERMETRINA 10MG/ML OU 1% LOÇÃO 60ml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1992</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3151</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2765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1985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PIRIMETAMINA 25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720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510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PREDNISOLONA 3 MG/ML SOL ORAL 60 ML</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2508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5655</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5257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5723</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PREDNISONA 20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90480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99940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173680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169790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PROMETAZINA 25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113400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145490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118340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94990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PROMETAZINA 25 MG/ ML INJ</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885</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798</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SALBUTAMOL 100 MCG (DOSE) SPRAY</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10516</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11519</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19632</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19704</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SERINGA DESCARTAVEL 100UI COM AGULHA</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 </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SERINGA DESCARTAVEL 50UI COM AGULHA</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20200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49150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51100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57800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SINVASTATINA 20MG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504150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 </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1785950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2874510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SULFAMETOXAZOL / TRIMETOPRIMA 40MG/8MG SUSPENSÃO 100 ML (VERIFICAR NO SIGSS)</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888</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626</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487</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622</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SULFAMETOXAZOL + TRIMETOPRIMA 400 MG + 80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114465</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175000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158000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201560</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SULFATO FERROSO 125MG/1ML GTS</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1817</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1827</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2086</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2687</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SULFATO FERROSO 40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556070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624500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638850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713785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VARFARINA 5 MG CP</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91300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98670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75330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83355</w:t>
            </w:r>
          </w:p>
        </w:tc>
      </w:tr>
      <w:tr>
        <w:trPr>
          <w:trHeight w:val="400" w:hRule="atLeast"/>
        </w:trPr>
        <w:tc>
          <w:tcPr>
            <w:tcW w:w="4110" w:type="dxa"/>
            <w:tcBorders>
              <w:top w:val="single" w:sz="4" w:space="0" w:color="000001"/>
              <w:left w:val="single" w:sz="4" w:space="0" w:color="000001"/>
              <w:bottom w:val="single" w:sz="4" w:space="0" w:color="000001"/>
              <w:right w:val="single" w:sz="4" w:space="0" w:color="000001"/>
            </w:tcBorders>
            <w:shd w:fill="auto" w:val="clear"/>
          </w:tcPr>
          <w:p>
            <w:pPr>
              <w:pStyle w:val="normal1"/>
              <w:rPr>
                <w:rFonts w:ascii="Times New Roman" w:hAnsi="Times New Roman"/>
                <w:sz w:val="24"/>
                <w:szCs w:val="24"/>
              </w:rPr>
            </w:pPr>
            <w:r>
              <w:rPr>
                <w:rFonts w:ascii="Times New Roman" w:hAnsi="Times New Roman"/>
                <w:sz w:val="24"/>
                <w:szCs w:val="24"/>
              </w:rPr>
              <w:t>VERAPAMIL 80 MG CPR</w:t>
            </w:r>
          </w:p>
        </w:tc>
        <w:tc>
          <w:tcPr>
            <w:tcW w:w="1843"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93300</w:t>
            </w:r>
          </w:p>
        </w:tc>
        <w:tc>
          <w:tcPr>
            <w:tcW w:w="1822"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sz w:val="24"/>
                <w:szCs w:val="24"/>
              </w:rPr>
              <w:t>4800</w:t>
            </w:r>
          </w:p>
        </w:tc>
        <w:tc>
          <w:tcPr>
            <w:tcW w:w="1580"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40440</w:t>
            </w:r>
          </w:p>
        </w:tc>
        <w:tc>
          <w:tcPr>
            <w:tcW w:w="1428" w:type="dxa"/>
            <w:tcBorders>
              <w:top w:val="single" w:sz="4" w:space="0" w:color="000001"/>
              <w:left w:val="single" w:sz="4" w:space="0" w:color="000001"/>
              <w:bottom w:val="single" w:sz="4" w:space="0" w:color="000001"/>
              <w:right w:val="single" w:sz="4" w:space="0" w:color="000001"/>
            </w:tcBorders>
            <w:shd w:fill="auto" w:val="clear"/>
            <w:tcMar>
              <w:left w:w="108" w:type="dxa"/>
            </w:tcMar>
            <w:vAlign w:val="bottom"/>
          </w:tcPr>
          <w:p>
            <w:pPr>
              <w:pStyle w:val="normal1"/>
              <w:jc w:val="center"/>
              <w:rPr>
                <w:rFonts w:ascii="Times New Roman" w:hAnsi="Times New Roman"/>
                <w:sz w:val="24"/>
                <w:szCs w:val="24"/>
              </w:rPr>
            </w:pPr>
            <w:r>
              <w:rPr>
                <w:rFonts w:eastAsia="Calibri" w:cs="Calibri" w:ascii="Times New Roman" w:hAnsi="Times New Roman"/>
                <w:color w:val="000000"/>
                <w:sz w:val="24"/>
                <w:szCs w:val="24"/>
              </w:rPr>
              <w:t>51930</w:t>
            </w:r>
          </w:p>
        </w:tc>
      </w:tr>
    </w:tbl>
    <w:p>
      <w:pPr>
        <w:pStyle w:val="normal1"/>
        <w:rPr>
          <w:rFonts w:ascii="Times New Roman" w:hAnsi="Times New Roman"/>
          <w:sz w:val="24"/>
          <w:szCs w:val="24"/>
        </w:rPr>
      </w:pPr>
      <w:r>
        <w:rPr>
          <w:rFonts w:ascii="Times New Roman" w:hAnsi="Times New Roman"/>
          <w:sz w:val="24"/>
          <w:szCs w:val="24"/>
        </w:rPr>
      </w:r>
    </w:p>
    <w:p>
      <w:pPr>
        <w:pStyle w:val="normal1"/>
        <w:spacing w:lineRule="auto" w:line="276" w:before="200" w:after="0"/>
        <w:jc w:val="both"/>
        <w:rPr>
          <w:rFonts w:ascii="Times New Roman" w:hAnsi="Times New Roman"/>
          <w:sz w:val="24"/>
          <w:szCs w:val="24"/>
        </w:rPr>
      </w:pPr>
      <w:r>
        <w:rPr>
          <w:rFonts w:ascii="Times New Roman" w:hAnsi="Times New Roman"/>
          <w:sz w:val="24"/>
          <w:szCs w:val="24"/>
        </w:rPr>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8 - ESTIMATIVA DO VALOR DA CONTRATAÇÃO:</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 xml:space="preserve">VALOR TOTAL: </w:t>
      </w:r>
      <w:r>
        <w:rPr>
          <w:rFonts w:eastAsia="Calibri" w:cs="Calibri" w:ascii="Times New Roman" w:hAnsi="Times New Roman"/>
          <w:b/>
          <w:bCs/>
          <w:color w:val="000000"/>
          <w:sz w:val="24"/>
          <w:szCs w:val="24"/>
          <w:highlight w:val="white"/>
        </w:rPr>
        <w:t>R$ 2.555.448,60</w:t>
      </w:r>
      <w:r>
        <w:rPr>
          <w:rFonts w:eastAsia="Times New Roman" w:cs="Times New Roman" w:ascii="Times New Roman" w:hAnsi="Times New Roman"/>
          <w:b/>
          <w:bCs/>
          <w:sz w:val="24"/>
          <w:szCs w:val="24"/>
          <w:highlight w:val="white"/>
        </w:rPr>
        <w:t xml:space="preserve"> </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 xml:space="preserve">A pesquisa de preços foi elaborada em conformidade com a Instrução Normativa n º65/2021. </w:t>
      </w:r>
    </w:p>
    <w:p>
      <w:pPr>
        <w:pStyle w:val="normal1"/>
        <w:rPr>
          <w:rFonts w:ascii="Times New Roman" w:hAnsi="Times New Roman"/>
          <w:sz w:val="24"/>
          <w:szCs w:val="24"/>
        </w:rPr>
      </w:pPr>
      <w:r>
        <w:rPr>
          <w:rFonts w:eastAsia="Times New Roman" w:cs="Times New Roman" w:ascii="Times New Roman" w:hAnsi="Times New Roman"/>
          <w:sz w:val="24"/>
          <w:szCs w:val="24"/>
        </w:rPr>
        <w:t>Para determinação do preço estimado, foi utilizado o parâmetro estabelecido no Art. 5º, inciso I, II, III:</w:t>
      </w:r>
    </w:p>
    <w:p>
      <w:pPr>
        <w:pStyle w:val="normal1"/>
        <w:rPr>
          <w:rFonts w:ascii="Times New Roman" w:hAnsi="Times New Roman"/>
          <w:sz w:val="24"/>
          <w:szCs w:val="24"/>
        </w:rPr>
      </w:pPr>
      <w:r>
        <w:rPr>
          <w:rFonts w:eastAsia="Times New Roman" w:cs="Times New Roman" w:ascii="Times New Roman" w:hAnsi="Times New Roman"/>
          <w:sz w:val="24"/>
          <w:szCs w:val="24"/>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pPr>
        <w:pStyle w:val="normal1"/>
        <w:rPr>
          <w:rFonts w:ascii="Times New Roman" w:hAnsi="Times New Roman"/>
          <w:sz w:val="24"/>
          <w:szCs w:val="24"/>
        </w:rPr>
      </w:pPr>
      <w:r>
        <w:rPr>
          <w:rFonts w:eastAsia="Times New Roman" w:cs="Times New Roman" w:ascii="Times New Roman" w:hAnsi="Times New Roman"/>
          <w:sz w:val="24"/>
          <w:szCs w:val="24"/>
        </w:rPr>
        <w:t>I - composição de custos unitários menores ou iguais à mediana do item correspondente nos sistemas oficiais de governo, como Painel de Preços ou banco de preços em saúde, observado o índice de atualização de preços correspondente;</w:t>
      </w:r>
    </w:p>
    <w:p>
      <w:pPr>
        <w:pStyle w:val="normal1"/>
        <w:rPr>
          <w:rFonts w:ascii="Times New Roman" w:hAnsi="Times New Roman"/>
          <w:sz w:val="24"/>
          <w:szCs w:val="24"/>
        </w:rPr>
      </w:pPr>
      <w:r>
        <w:rPr>
          <w:rFonts w:eastAsia="Times New Roman" w:cs="Times New Roman" w:ascii="Times New Roman" w:hAnsi="Times New Roman"/>
          <w:sz w:val="24"/>
          <w:szCs w:val="24"/>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pPr>
        <w:pStyle w:val="normal1"/>
        <w:rPr>
          <w:rFonts w:ascii="Times New Roman" w:hAnsi="Times New Roman"/>
          <w:sz w:val="24"/>
          <w:szCs w:val="24"/>
        </w:rPr>
      </w:pPr>
      <w:r>
        <w:rPr>
          <w:rFonts w:eastAsia="Times New Roman" w:cs="Times New Roman" w:ascii="Times New Roman" w:hAnsi="Times New Roman"/>
          <w:sz w:val="24"/>
          <w:szCs w:val="24"/>
        </w:rPr>
        <w:t xml:space="preserve">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 </w:t>
      </w:r>
    </w:p>
    <w:p>
      <w:pPr>
        <w:pStyle w:val="normal1"/>
        <w:rPr>
          <w:rFonts w:ascii="Times New Roman" w:hAnsi="Times New Roman"/>
          <w:sz w:val="24"/>
          <w:szCs w:val="24"/>
        </w:rPr>
      </w:pPr>
      <w:r>
        <w:rPr>
          <w:rFonts w:ascii="Times New Roman" w:hAnsi="Times New Roman"/>
          <w:sz w:val="24"/>
          <w:szCs w:val="24"/>
        </w:rPr>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highlight w:val="white"/>
        </w:rPr>
        <w:t>9 - JUSTIFICATIVA PARA PARCELAMENTO OU NÃO DA SOLUÇÃO: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O objeto será parcelado por item, considerando a natureza divisível dos medicamentos e visando ampliar a competitividade do certame, possibilitando a participação de diferentes fornecedores e reduzindo o risco de desabastecimento decorrente de falhas na contratação.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10 - CONTRATAÇÕES CORRELATAS/INTERDEPENDENTES: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Não constam.</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11 - DEMONSTRATIVO DA PREVISÃO DA CONTRATAÇÃO NO PLANO ANUAL DE CONTRATAÇÃO – PAC:</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 presente aquisição está alinhada aos objetivos estratégicos da Secretaria Municipal de Saúde, assegurando um sistema de saúde acessível a todos. Essa iniciativa reforça o compromisso com a qualidade e eficiência dos serviços prestados, bem como com a adequada infraestrutura necessária para atender às demandas da comunidade.</w:t>
      </w:r>
      <w:r>
        <w:rPr>
          <w:rFonts w:eastAsia="Times New Roman" w:cs="Times New Roman" w:ascii="Times New Roman" w:hAnsi="Times New Roman"/>
          <w:sz w:val="24"/>
          <w:szCs w:val="24"/>
        </w:rPr>
        <w:t xml:space="preserve"> </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Adicionalmente, é importante destacar que a contratação está plenamente alinhada com o orçamento previamente estabelecido e o Plano Anual de Contratações da Secretaria Municipal de Saúde. Essa coerência entre os objetivos, recursos financeiros disponíveis e planejamento estratégico reforça a responsabilidade fiscal e a efetividade na execução das ações propostas.</w:t>
      </w:r>
      <w:r>
        <w:rPr>
          <w:rFonts w:eastAsia="Times New Roman" w:cs="Times New Roman" w:ascii="Times New Roman" w:hAnsi="Times New Roman"/>
          <w:sz w:val="24"/>
          <w:szCs w:val="24"/>
        </w:rPr>
        <w:t xml:space="preserve"> </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12 - DEMONSTRAÇÃO DOS RESULTADOS PRETENDIDOS: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 xml:space="preserve">Com esta contratação, pretende-se viabilizar a aquisição dos medicamentos essenciais que integram a REMUME, assegurando o abastecimento regular da rede municipal de saúde, a continuidade dos tratamentos e a melhoria da assistência farmacêutica prestada aos usuários do SUS. </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13 - PROVIDÊNCIAS PRÉVIAS AO CONTRATO: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Não há providências prévias ao contrato para serem adotadas. Por se tratar de sistema de Registro de preços, a Administração indicará um servidor responsável para o recebimento provisório e definitivo dos materiais.</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14 – PLANEJAMENTO À POSSÍVEIS IMPACTOS AMBIENTAIS:</w:t>
      </w:r>
    </w:p>
    <w:p>
      <w:pPr>
        <w:pStyle w:val="normal1"/>
        <w:spacing w:lineRule="auto" w:line="276" w:before="200" w:after="0"/>
        <w:jc w:val="both"/>
        <w:rPr>
          <w:rFonts w:ascii="Times New Roman" w:hAnsi="Times New Roman"/>
          <w:sz w:val="24"/>
          <w:szCs w:val="24"/>
        </w:rPr>
      </w:pPr>
      <w:r>
        <w:rPr>
          <w:rFonts w:eastAsia="Times New Roman" w:cs="Times New Roman" w:ascii="Times New Roman" w:hAnsi="Times New Roman"/>
          <w:color w:val="0F0F0F"/>
          <w:sz w:val="24"/>
          <w:szCs w:val="24"/>
        </w:rPr>
        <w:t>Dada a natureza do objeto que se busca adquirir, não há impactos ambientais significativos. Portanto, é necessário apenas que a licitante cumpra os critérios estabelecidos pelos órgãos fiscalizadores previamente estabelecidos no tópico 4 deste Estudo Técnico Preliminar (ETP).</w:t>
      </w:r>
      <w:r>
        <w:rPr>
          <w:rFonts w:eastAsia="Times New Roman" w:cs="Times New Roman" w:ascii="Times New Roman" w:hAnsi="Times New Roman"/>
          <w:sz w:val="24"/>
          <w:szCs w:val="24"/>
        </w:rPr>
        <w:t xml:space="preserve"> </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15 - VIABILIDADE DA CONTRATAÇÃO:</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Este servidor declara VIÁVEL esta contratação com base neste Estudo Técnico Preliminar.</w:t>
      </w:r>
    </w:p>
    <w:p>
      <w:pPr>
        <w:pStyle w:val="normal1"/>
        <w:keepLines w:val="false"/>
        <w:spacing w:lineRule="auto" w:line="276" w:before="20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Integra o presente Estudo Técnico Preliminar o Anexo I, contendo a relação detalhada dos itens que fundamentam a presente contratação.</w:t>
      </w:r>
    </w:p>
    <w:p>
      <w:pPr>
        <w:pStyle w:val="normal1"/>
        <w:keepNext w:val="false"/>
        <w:keepLines w:val="false"/>
        <w:pageBreakBefore w:val="false"/>
        <w:widowControl/>
        <w:pBdr/>
        <w:shd w:val="clear" w:fill="auto"/>
        <w:spacing w:lineRule="auto" w:line="240" w:before="0" w:after="0"/>
        <w:ind w:hanging="0" w:left="0" w:right="0"/>
        <w:jc w:val="left"/>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1"/>
        <w:keepNext w:val="false"/>
        <w:keepLines w:val="false"/>
        <w:pageBreakBefore w:val="false"/>
        <w:widowControl/>
        <w:pBdr/>
        <w:shd w:val="clear" w:fill="auto"/>
        <w:spacing w:lineRule="auto" w:line="240" w:before="0" w:after="0"/>
        <w:ind w:hanging="0" w:left="0" w:right="0"/>
        <w:jc w:val="left"/>
        <w:rPr>
          <w:rFonts w:ascii="Times New Roman" w:hAnsi="Times New Roman"/>
          <w:sz w:val="24"/>
          <w:szCs w:val="24"/>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 xml:space="preserve">ANEXO I – </w:t>
      </w: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RELAÇÃO DOS ITENS DESERTOS, NÃO ADJUDICADOS E PENDENTES</w:t>
      </w: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 xml:space="preserve"> – EDITAL Nº 187/2025</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rPr>
        <w:t>A tabela a seguir apresenta a relação dos itens que restaram desertos, não adjudicados ou parcialmente atendidos no Edital nº 187/2025, conforme publicação oficial do certame, incluindo os casos em que a adjudicação parcial não assegura o atendimento integral da demanda.</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b/>
          <w:bCs/>
          <w:sz w:val="24"/>
          <w:szCs w:val="24"/>
        </w:rPr>
        <w:t>Nota</w:t>
      </w:r>
      <w:r>
        <w:rPr>
          <w:rFonts w:eastAsia="Times New Roman" w:cs="Times New Roman" w:ascii="Times New Roman" w:hAnsi="Times New Roman"/>
          <w:sz w:val="24"/>
          <w:szCs w:val="24"/>
        </w:rPr>
        <w:t>: Observa-se que determinados itens aparecem mais de uma vez em razão da divisão por cotas (principal e reservada), conforme estrutura do edital.</w:t>
      </w:r>
    </w:p>
    <w:p>
      <w:pPr>
        <w:pStyle w:val="normal1"/>
        <w:keepLines w:val="false"/>
        <w:spacing w:lineRule="auto" w:line="276" w:before="20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Style w:val="Table2"/>
        <w:tblW w:w="9493" w:type="dxa"/>
        <w:jc w:val="left"/>
        <w:tblInd w:w="-503" w:type="dxa"/>
        <w:tblLayout w:type="fixed"/>
        <w:tblCellMar>
          <w:top w:w="0" w:type="dxa"/>
          <w:left w:w="65" w:type="dxa"/>
          <w:bottom w:w="0" w:type="dxa"/>
          <w:right w:w="108" w:type="dxa"/>
        </w:tblCellMar>
        <w:tblLook w:val="0400"/>
      </w:tblPr>
      <w:tblGrid>
        <w:gridCol w:w="860"/>
        <w:gridCol w:w="6648"/>
        <w:gridCol w:w="1985"/>
      </w:tblGrid>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0F9ED5" w:val="clear"/>
            <w:vAlign w:val="bottom"/>
          </w:tcPr>
          <w:p>
            <w:pPr>
              <w:pStyle w:val="normal1"/>
              <w:jc w:val="center"/>
              <w:rPr>
                <w:rFonts w:ascii="Times New Roman" w:hAnsi="Times New Roman"/>
                <w:sz w:val="24"/>
                <w:szCs w:val="24"/>
              </w:rPr>
            </w:pPr>
            <w:r>
              <w:rPr>
                <w:rFonts w:eastAsia="Calibri" w:cs="Calibri" w:ascii="Times New Roman" w:hAnsi="Times New Roman"/>
                <w:b/>
                <w:bCs/>
                <w:color w:val="000000"/>
                <w:sz w:val="24"/>
                <w:szCs w:val="24"/>
              </w:rPr>
              <w:t>Lote</w:t>
            </w:r>
          </w:p>
        </w:tc>
        <w:tc>
          <w:tcPr>
            <w:tcW w:w="6648" w:type="dxa"/>
            <w:tcBorders>
              <w:top w:val="single" w:sz="4" w:space="0" w:color="00000A"/>
              <w:left w:val="single" w:sz="4" w:space="0" w:color="00000A"/>
              <w:bottom w:val="single" w:sz="4" w:space="0" w:color="00000A"/>
              <w:right w:val="single" w:sz="4" w:space="0" w:color="00000A"/>
            </w:tcBorders>
            <w:shd w:fill="0F9ED5" w:val="clear"/>
            <w:tcMar>
              <w:left w:w="108" w:type="dxa"/>
            </w:tcMar>
            <w:vAlign w:val="bottom"/>
          </w:tcPr>
          <w:p>
            <w:pPr>
              <w:pStyle w:val="normal1"/>
              <w:rPr>
                <w:rFonts w:ascii="Times New Roman" w:hAnsi="Times New Roman"/>
                <w:sz w:val="24"/>
                <w:szCs w:val="24"/>
              </w:rPr>
            </w:pPr>
            <w:r>
              <w:rPr>
                <w:rFonts w:eastAsia="Calibri" w:cs="Calibri" w:ascii="Times New Roman" w:hAnsi="Times New Roman"/>
                <w:b/>
                <w:bCs/>
                <w:color w:val="000000"/>
                <w:sz w:val="24"/>
                <w:szCs w:val="24"/>
              </w:rPr>
              <w:t>Descrição do item</w:t>
            </w:r>
          </w:p>
        </w:tc>
        <w:tc>
          <w:tcPr>
            <w:tcW w:w="1985" w:type="dxa"/>
            <w:tcBorders>
              <w:top w:val="single" w:sz="4" w:space="0" w:color="00000A"/>
              <w:left w:val="single" w:sz="4" w:space="0" w:color="00000A"/>
              <w:bottom w:val="single" w:sz="4" w:space="0" w:color="00000A"/>
              <w:right w:val="single" w:sz="4" w:space="0" w:color="00000A"/>
            </w:tcBorders>
            <w:shd w:fill="0F9ED5" w:val="clear"/>
            <w:tcMar>
              <w:left w:w="108" w:type="dxa"/>
            </w:tcMar>
            <w:vAlign w:val="bottom"/>
          </w:tcPr>
          <w:p>
            <w:pPr>
              <w:pStyle w:val="normal1"/>
              <w:rPr>
                <w:rFonts w:ascii="Times New Roman" w:hAnsi="Times New Roman"/>
                <w:sz w:val="24"/>
                <w:szCs w:val="24"/>
              </w:rPr>
            </w:pPr>
            <w:r>
              <w:rPr>
                <w:rFonts w:eastAsia="Calibri" w:cs="Calibri" w:ascii="Times New Roman" w:hAnsi="Times New Roman"/>
                <w:b/>
                <w:bCs/>
                <w:color w:val="000000"/>
                <w:sz w:val="24"/>
                <w:szCs w:val="24"/>
              </w:rPr>
              <w:t>Situação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6</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Ácido Fólico 0.2 mg/mL solução oral Frasco</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7</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Ácido Folínico 15mg comprimido</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14</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Albendazol 40mg/ml, suspensão oral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32</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Atropina, sulfato 0,25mg/ml injetável ampola 1ml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40</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Bicarbonato de Sódio 8,4mg/ml, ampola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45</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Carbamazepina 200mg comprimido c/10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PENDENTE</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61</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Ciproterona, acetato 50 mg comprimidos</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65</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Cloreto de sódio 20% ampola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66</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Clorpromazina, cloridrato 100mg comprimido, blíster c/10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PENDENTE</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67</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Clorpromazina, cloridrato 100mg comprimido, blíster c/10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70</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Clorpromazina, cloridrato 40mg/mL solução oral frasco 20 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92</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Espiramicina 500mg comprimido</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96</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Estradiol 2 mg comprimidos</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99</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Estrógenos conjugados 0,625mg drágeas ou comprimidos</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100</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Etinilestradiol 0,03mg + Levonorgestrel 0,15mg drágeas</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102</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Fenitoína sódica 100mg blíster com 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104</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Fenobarbital 100mg, blíster com 10 comprimidos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106</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Fenoterol, Bromidrato 5 mg/ml Solução para nebulização – Frasco 20 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122</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Haloperidol 2mg/mL solução oral 20 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125</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Haloperidol 5mg/ml ampola 1ml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137</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Insulina NPH,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138</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Insulina NPH,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139</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Insulina Regular,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140</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Insulina Regular,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141</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Ipratrópio, Brometo 0,25mg/ml solução para inalação frasco 20ml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143</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Isossorbida, dinitrato 5mg sublingual, cp, blíster com 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153</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Levonorgestrel 0,75mg comprimido, blister c/ 02 cp</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154</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Levotiroxina sódica 25mcg, blíster com 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155</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Levotiroxina sódica 25mcg, blíster com 10 cp, 15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158</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Loratadina 10mg, blíster com 10 cp, 12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PENDENTE</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169</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Metoclopramida 5 mg/ml injetável 2ml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179</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Miconazol, nitrato 20mg/g creme vaginal bisnagas 80g</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182</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Noretisterona 0,35mg cp (Blíster calendário c/ 35 unidades)</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183</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Noretisterona, enantato 50mg+Estradiol, valerato 5mg injetável – Frasco-ampola</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PENDENTE</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185</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Omeprazol 20mg cápsula, blíster com 7 cp, 10 cp, 14 cp ou fracionável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PENDENTE</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190</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Permetrina 10mg/ml loção Frasco 60 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198</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Prometazina 25mg/ml ampola 2ml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201</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Salbutamol, sulfato 5mg/ml solução para inalação frasco 10ml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204</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Sulfadiazina 500mg comprimido</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r>
        <w:trPr>
          <w:trHeight w:val="320" w:hRule="atLeast"/>
        </w:trPr>
        <w:tc>
          <w:tcPr>
            <w:tcW w:w="860" w:type="dxa"/>
            <w:tcBorders>
              <w:top w:val="single" w:sz="4" w:space="0" w:color="00000A"/>
              <w:left w:val="single" w:sz="4" w:space="0" w:color="00000A"/>
              <w:bottom w:val="single" w:sz="4" w:space="0" w:color="00000A"/>
              <w:right w:val="single" w:sz="4" w:space="0" w:color="00000A"/>
            </w:tcBorders>
            <w:shd w:fill="auto" w:val="clear"/>
            <w:vAlign w:val="bottom"/>
          </w:tcPr>
          <w:p>
            <w:pPr>
              <w:pStyle w:val="normal1"/>
              <w:jc w:val="center"/>
              <w:rPr>
                <w:rFonts w:ascii="Times New Roman" w:hAnsi="Times New Roman"/>
                <w:sz w:val="24"/>
                <w:szCs w:val="24"/>
              </w:rPr>
            </w:pPr>
            <w:r>
              <w:rPr>
                <w:rFonts w:eastAsia="Aptos Narrow" w:cs="Aptos Narrow" w:ascii="Times New Roman" w:hAnsi="Times New Roman"/>
                <w:color w:val="000000"/>
                <w:sz w:val="24"/>
                <w:szCs w:val="24"/>
              </w:rPr>
              <w:t>208</w:t>
            </w:r>
          </w:p>
        </w:tc>
        <w:tc>
          <w:tcPr>
            <w:tcW w:w="6648"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Sulfato Ferroso 125mg/mL (25 mg/ml de Ferro Elementar) solução oral - frasco 30ml</w:t>
            </w:r>
          </w:p>
        </w:tc>
        <w:tc>
          <w:tcPr>
            <w:tcW w:w="1985" w:type="dxa"/>
            <w:tcBorders>
              <w:top w:val="single" w:sz="4" w:space="0" w:color="00000A"/>
              <w:left w:val="single" w:sz="4" w:space="0" w:color="00000A"/>
              <w:bottom w:val="single" w:sz="4" w:space="0" w:color="00000A"/>
              <w:right w:val="single" w:sz="4" w:space="0" w:color="00000A"/>
            </w:tcBorders>
            <w:shd w:fill="auto" w:val="clear"/>
            <w:tcMar>
              <w:left w:w="108" w:type="dxa"/>
            </w:tcMar>
            <w:vAlign w:val="bottom"/>
          </w:tcPr>
          <w:p>
            <w:pPr>
              <w:pStyle w:val="normal1"/>
              <w:rPr>
                <w:rFonts w:ascii="Times New Roman" w:hAnsi="Times New Roman"/>
                <w:sz w:val="24"/>
                <w:szCs w:val="24"/>
              </w:rPr>
            </w:pPr>
            <w:r>
              <w:rPr>
                <w:rFonts w:eastAsia="Aptos Narrow" w:cs="Aptos Narrow" w:ascii="Times New Roman" w:hAnsi="Times New Roman"/>
                <w:color w:val="000000"/>
                <w:sz w:val="24"/>
                <w:szCs w:val="24"/>
              </w:rPr>
              <w:t>SEM COTAÇÃO</w:t>
            </w:r>
          </w:p>
        </w:tc>
      </w:tr>
    </w:tbl>
    <w:p>
      <w:pPr>
        <w:pStyle w:val="normal1"/>
        <w:keepLines w:val="false"/>
        <w:spacing w:lineRule="auto" w:line="276" w:before="20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Lines w:val="false"/>
        <w:spacing w:lineRule="auto" w:line="276" w:before="20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Lines w:val="false"/>
        <w:spacing w:lineRule="auto" w:line="276" w:before="20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Nome: Paulo da Silva Junior</w:t>
      </w:r>
    </w:p>
    <w:p>
      <w:pPr>
        <w:pStyle w:val="normal1"/>
        <w:keepLines w:val="false"/>
        <w:spacing w:lineRule="auto" w:line="276" w:before="200" w:after="0"/>
        <w:jc w:val="both"/>
        <w:rPr>
          <w:rFonts w:ascii="Times New Roman" w:hAnsi="Times New Roman"/>
          <w:sz w:val="24"/>
          <w:szCs w:val="24"/>
        </w:rPr>
      </w:pPr>
      <w:r>
        <w:rPr>
          <w:rFonts w:eastAsia="Times New Roman" w:cs="Times New Roman" w:ascii="Times New Roman" w:hAnsi="Times New Roman"/>
          <w:sz w:val="24"/>
          <w:szCs w:val="24"/>
          <w:highlight w:val="white"/>
        </w:rPr>
        <w:t>Matrícula: 101558</w:t>
      </w:r>
    </w:p>
    <w:p>
      <w:pPr>
        <w:pStyle w:val="normal1"/>
        <w:keepLines w:val="false"/>
        <w:spacing w:lineRule="auto" w:line="276" w:before="200" w:after="0"/>
        <w:rPr>
          <w:rFonts w:ascii="Times New Roman" w:hAnsi="Times New Roman"/>
          <w:sz w:val="24"/>
          <w:szCs w:val="24"/>
        </w:rPr>
      </w:pPr>
      <w:r>
        <w:rPr>
          <w:rFonts w:eastAsia="Times New Roman" w:cs="Times New Roman" w:ascii="Times New Roman" w:hAnsi="Times New Roman"/>
          <w:sz w:val="24"/>
          <w:szCs w:val="24"/>
        </w:rPr>
        <w:t>Responsável pela elaboração do Estudo Técnico Preliminar</w:t>
      </w:r>
    </w:p>
    <w:p>
      <w:pPr>
        <w:pStyle w:val="normal1"/>
        <w:keepLines w:val="false"/>
        <w:spacing w:lineRule="auto" w:line="276" w:before="200" w:after="0"/>
        <w:rPr>
          <w:rFonts w:ascii="Times New Roman" w:hAnsi="Times New Roman"/>
          <w:sz w:val="24"/>
          <w:szCs w:val="24"/>
        </w:rPr>
      </w:pPr>
      <w:r>
        <w:rPr>
          <w:rFonts w:eastAsia="Times New Roman" w:cs="Times New Roman" w:ascii="Times New Roman" w:hAnsi="Times New Roman"/>
          <w:color w:val="000000"/>
          <w:sz w:val="24"/>
          <w:szCs w:val="24"/>
        </w:rPr>
        <w:t>Secretaria Municipal da Saúde</w:t>
      </w:r>
    </w:p>
    <w:p>
      <w:pPr>
        <w:pStyle w:val="normal1"/>
        <w:keepLines w:val="false"/>
        <w:spacing w:lineRule="auto" w:line="276" w:before="200" w:after="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r>
    </w:p>
    <w:p>
      <w:pPr>
        <w:pStyle w:val="normal1"/>
        <w:keepLines w:val="false"/>
        <w:spacing w:lineRule="auto" w:line="276" w:before="200" w:after="0"/>
        <w:rPr>
          <w:rFonts w:ascii="Times New Roman" w:hAnsi="Times New Roman"/>
          <w:sz w:val="24"/>
          <w:szCs w:val="24"/>
        </w:rPr>
      </w:pPr>
      <w:r>
        <w:rPr>
          <w:rFonts w:ascii="Times New Roman" w:hAnsi="Times New Roman"/>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0" w:right="1700" w:gutter="0" w:header="850" w:top="907" w:footer="454" w:bottom="147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Liberation Sans">
    <w:altName w:val="Arial"/>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Georgia">
    <w:charset w:val="00"/>
    <w:family w:val="roman"/>
    <w:pitch w:val="variable"/>
    <w:embedRegular r:id="rId18" w:fontKey="{12014A78-CABC-4EF0-12AC-5CD89AEFDE12}"/>
    <w:embedBold r:id="rId19" w:fontKey="{13014A78-CABC-4EF0-12AC-5CD89AEFDE13}"/>
    <w:embedItalic r:id="rId20" w:fontKey="{14014A78-CABC-4EF0-12AC-5CD89AEFDE14}"/>
    <w:embedBoldItalic r:id="rId21" w:fontKey="{15014A78-CABC-4EF0-12AC-5CD89AEFDE15}"/>
  </w:font>
  <w:font w:name="Times New Roman">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jc w:val="right"/>
      <w:rPr/>
    </w:pPr>
    <w:r>
      <w:rPr/>
      <w:fldChar w:fldCharType="begin"/>
    </w:r>
    <w:r>
      <w:rPr/>
      <w:instrText xml:space="preserve"> PAGE </w:instrText>
    </w:r>
    <w:r>
      <w:rPr/>
      <w:fldChar w:fldCharType="separate"/>
    </w:r>
    <w:r>
      <w:rPr/>
      <w:t>12</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252" w:leader="none"/>
        <w:tab w:val="right" w:pos="8504" w:leader="none"/>
      </w:tabs>
      <w:jc w:val="right"/>
      <w:rPr/>
    </w:pPr>
    <w:r>
      <w:rPr/>
      <w:fldChar w:fldCharType="begin"/>
    </w:r>
    <w:r>
      <w:rPr/>
      <w:instrText xml:space="preserve"> PAGE </w:instrText>
    </w:r>
    <w:r>
      <w:rPr/>
      <w:fldChar w:fldCharType="separate"/>
    </w:r>
    <w:r>
      <w:rPr/>
      <w:t>12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Lines w:val="false"/>
      <w:spacing w:lineRule="auto" w:line="276"/>
      <w:rPr/>
    </w:pPr>
    <w:r>
      <w:rPr/>
    </w:r>
  </w:p>
  <w:tbl>
    <w:tblPr>
      <w:tblStyle w:val="Table3"/>
      <w:tblW w:w="6444" w:type="dxa"/>
      <w:jc w:val="left"/>
      <w:tblInd w:w="-123" w:type="dxa"/>
      <w:tblLayout w:type="fixed"/>
      <w:tblCellMar>
        <w:top w:w="0" w:type="dxa"/>
        <w:left w:w="108" w:type="dxa"/>
        <w:bottom w:w="0" w:type="dxa"/>
        <w:right w:w="108" w:type="dxa"/>
      </w:tblCellMar>
      <w:tblLook w:val="0000"/>
    </w:tblPr>
    <w:tblGrid>
      <w:gridCol w:w="1116"/>
      <w:gridCol w:w="5327"/>
    </w:tblGrid>
    <w:tr>
      <w:trPr>
        <w:tblHeader w:val="true"/>
        <w:trHeight w:val="1324" w:hRule="atLeast"/>
      </w:trPr>
      <w:tc>
        <w:tcPr>
          <w:tcW w:w="1116" w:type="dxa"/>
          <w:tcBorders/>
          <w:shd w:fill="auto" w:val="clear"/>
        </w:tcPr>
        <w:p>
          <w:pPr>
            <w:pStyle w:val="normal1"/>
            <w:keepLines w:val="false"/>
            <w:spacing w:lineRule="auto" w:line="240" w:before="10" w:after="32"/>
            <w:rPr/>
          </w:pPr>
          <w:r>
            <w:rPr/>
            <w:drawing>
              <wp:inline distT="0" distB="0" distL="0" distR="0">
                <wp:extent cx="571500" cy="809625"/>
                <wp:effectExtent l="0" t="0" r="0" b="0"/>
                <wp:docPr id="1" name="image1.png"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ma imagem contendo Logotipo&#10;&#10;Descrição gerada automaticamente"/>
                        <pic:cNvPicPr>
                          <a:picLocks noChangeAspect="1" noChangeArrowheads="1"/>
                        </pic:cNvPicPr>
                      </pic:nvPicPr>
                      <pic:blipFill>
                        <a:blip r:embed="rId1"/>
                        <a:stretch>
                          <a:fillRect/>
                        </a:stretch>
                      </pic:blipFill>
                      <pic:spPr bwMode="auto">
                        <a:xfrm>
                          <a:off x="0" y="0"/>
                          <a:ext cx="571500" cy="809625"/>
                        </a:xfrm>
                        <a:prstGeom prst="rect">
                          <a:avLst/>
                        </a:prstGeom>
                        <a:noFill/>
                      </pic:spPr>
                    </pic:pic>
                  </a:graphicData>
                </a:graphic>
              </wp:inline>
            </w:drawing>
          </w:r>
        </w:p>
      </w:tc>
      <w:tc>
        <w:tcPr>
          <w:tcW w:w="5327" w:type="dxa"/>
          <w:tcBorders/>
          <w:shd w:fill="auto" w:val="clear"/>
        </w:tcPr>
        <w:p>
          <w:pPr>
            <w:pStyle w:val="normal1"/>
            <w:keepLines w:val="false"/>
            <w:ind w:hanging="0" w:left="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ESTADO DO RIO GRANDE DO SUL</w:t>
          </w:r>
        </w:p>
        <w:p>
          <w:pPr>
            <w:pStyle w:val="normal1"/>
            <w:keepLines w:val="false"/>
            <w:ind w:hanging="0" w:left="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MUNICÍPIO DE CANOAS</w:t>
          </w:r>
        </w:p>
        <w:p>
          <w:pPr>
            <w:pStyle w:val="normal1"/>
            <w:keepLines w:val="false"/>
            <w:ind w:hanging="0" w:left="240"/>
            <w:rPr/>
          </w:pPr>
          <w:r>
            <w:rPr>
              <w:rFonts w:eastAsia="Times New Roman" w:cs="Times New Roman" w:ascii="Times New Roman" w:hAnsi="Times New Roman"/>
              <w:color w:val="000000"/>
              <w:sz w:val="28"/>
              <w:szCs w:val="28"/>
            </w:rPr>
            <w:t>Secretaria Municipal d</w:t>
          </w:r>
          <w:r>
            <w:rPr>
              <w:rFonts w:eastAsia="Liberation Serif" w:cs="Liberation Serif" w:ascii="Liberation Serif" w:hAnsi="Liberation Serif"/>
              <w:color w:val="000000"/>
              <w:sz w:val="24"/>
              <w:szCs w:val="24"/>
            </w:rPr>
            <w:t>a Saúde</w:t>
          </w:r>
        </w:p>
        <w:p>
          <w:pPr>
            <w:pStyle w:val="normal1"/>
            <w:keepLines w:val="false"/>
            <w:rPr>
              <w:rFonts w:ascii="Times New Roman" w:hAnsi="Times New Roman" w:eastAsia="Times New Roman" w:cs="Times New Roman"/>
              <w:b/>
              <w:bCs/>
              <w:color w:val="000000"/>
              <w:sz w:val="28"/>
              <w:szCs w:val="28"/>
            </w:rPr>
          </w:pPr>
          <w:r>
            <w:rPr>
              <w:rFonts w:eastAsia="Times New Roman" w:cs="Times New Roman" w:ascii="Times New Roman" w:hAnsi="Times New Roman"/>
              <w:b/>
              <w:bCs/>
              <w:color w:val="000000"/>
              <w:sz w:val="28"/>
              <w:szCs w:val="28"/>
            </w:rPr>
          </w:r>
        </w:p>
      </w:tc>
    </w:tr>
  </w:tbl>
  <w:p>
    <w:pPr>
      <w:pStyle w:val="normal1"/>
      <w:tabs>
        <w:tab w:val="clear" w:pos="720"/>
        <w:tab w:val="center" w:pos="4320" w:leader="none"/>
        <w:tab w:val="right" w:pos="8640" w:leader="none"/>
      </w:tabs>
      <w:jc w:val="right"/>
      <w:rPr>
        <w:sz w:val="24"/>
        <w:szCs w:val="24"/>
        <w:highlight w:val="red"/>
      </w:rPr>
    </w:pPr>
    <w:r>
      <w:rPr>
        <w:sz w:val="24"/>
        <w:szCs w:val="24"/>
        <w:highlight w:val="red"/>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Lines w:val="false"/>
      <w:spacing w:lineRule="auto" w:line="276"/>
      <w:rPr/>
    </w:pPr>
    <w:r>
      <w:rPr/>
    </w:r>
  </w:p>
  <w:tbl>
    <w:tblPr>
      <w:tblStyle w:val="Table3"/>
      <w:tblW w:w="6444" w:type="dxa"/>
      <w:jc w:val="left"/>
      <w:tblInd w:w="-123" w:type="dxa"/>
      <w:tblLayout w:type="fixed"/>
      <w:tblCellMar>
        <w:top w:w="0" w:type="dxa"/>
        <w:left w:w="108" w:type="dxa"/>
        <w:bottom w:w="0" w:type="dxa"/>
        <w:right w:w="108" w:type="dxa"/>
      </w:tblCellMar>
      <w:tblLook w:val="0000"/>
    </w:tblPr>
    <w:tblGrid>
      <w:gridCol w:w="1116"/>
      <w:gridCol w:w="5327"/>
    </w:tblGrid>
    <w:tr>
      <w:trPr>
        <w:tblHeader w:val="true"/>
        <w:trHeight w:val="1324" w:hRule="atLeast"/>
      </w:trPr>
      <w:tc>
        <w:tcPr>
          <w:tcW w:w="1116" w:type="dxa"/>
          <w:tcBorders/>
          <w:shd w:fill="auto" w:val="clear"/>
        </w:tcPr>
        <w:p>
          <w:pPr>
            <w:pStyle w:val="normal1"/>
            <w:keepLines w:val="false"/>
            <w:spacing w:lineRule="auto" w:line="240" w:before="10" w:after="32"/>
            <w:rPr/>
          </w:pPr>
          <w:r>
            <w:rPr/>
            <w:drawing>
              <wp:inline distT="0" distB="0" distL="0" distR="0">
                <wp:extent cx="571500" cy="809625"/>
                <wp:effectExtent l="0" t="0" r="0" b="0"/>
                <wp:docPr id="2" name="image1.png"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Uma imagem contendo Logotipo&#10;&#10;Descrição gerada automaticamente"/>
                        <pic:cNvPicPr>
                          <a:picLocks noChangeAspect="1" noChangeArrowheads="1"/>
                        </pic:cNvPicPr>
                      </pic:nvPicPr>
                      <pic:blipFill>
                        <a:blip r:embed="rId1"/>
                        <a:stretch>
                          <a:fillRect/>
                        </a:stretch>
                      </pic:blipFill>
                      <pic:spPr bwMode="auto">
                        <a:xfrm>
                          <a:off x="0" y="0"/>
                          <a:ext cx="571500" cy="809625"/>
                        </a:xfrm>
                        <a:prstGeom prst="rect">
                          <a:avLst/>
                        </a:prstGeom>
                        <a:noFill/>
                      </pic:spPr>
                    </pic:pic>
                  </a:graphicData>
                </a:graphic>
              </wp:inline>
            </w:drawing>
          </w:r>
        </w:p>
      </w:tc>
      <w:tc>
        <w:tcPr>
          <w:tcW w:w="5327" w:type="dxa"/>
          <w:tcBorders/>
          <w:shd w:fill="auto" w:val="clear"/>
        </w:tcPr>
        <w:p>
          <w:pPr>
            <w:pStyle w:val="normal1"/>
            <w:keepLines w:val="false"/>
            <w:ind w:hanging="0" w:left="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ESTADO DO RIO GRANDE DO SUL</w:t>
          </w:r>
        </w:p>
        <w:p>
          <w:pPr>
            <w:pStyle w:val="normal1"/>
            <w:keepLines w:val="false"/>
            <w:ind w:hanging="0" w:left="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MUNICÍPIO DE CANOAS</w:t>
          </w:r>
        </w:p>
        <w:p>
          <w:pPr>
            <w:pStyle w:val="normal1"/>
            <w:keepLines w:val="false"/>
            <w:ind w:hanging="0" w:left="240"/>
            <w:rPr/>
          </w:pPr>
          <w:r>
            <w:rPr>
              <w:rFonts w:eastAsia="Times New Roman" w:cs="Times New Roman" w:ascii="Times New Roman" w:hAnsi="Times New Roman"/>
              <w:color w:val="000000"/>
              <w:sz w:val="28"/>
              <w:szCs w:val="28"/>
            </w:rPr>
            <w:t>Secretaria Municipal d</w:t>
          </w:r>
          <w:r>
            <w:rPr>
              <w:rFonts w:eastAsia="Liberation Serif" w:cs="Liberation Serif" w:ascii="Liberation Serif" w:hAnsi="Liberation Serif"/>
              <w:color w:val="000000"/>
              <w:sz w:val="24"/>
              <w:szCs w:val="24"/>
            </w:rPr>
            <w:t>a Saúde</w:t>
          </w:r>
        </w:p>
        <w:p>
          <w:pPr>
            <w:pStyle w:val="normal1"/>
            <w:keepLines w:val="false"/>
            <w:rPr>
              <w:rFonts w:ascii="Times New Roman" w:hAnsi="Times New Roman" w:eastAsia="Times New Roman" w:cs="Times New Roman"/>
              <w:b/>
              <w:bCs/>
              <w:color w:val="000000"/>
              <w:sz w:val="28"/>
              <w:szCs w:val="28"/>
            </w:rPr>
          </w:pPr>
          <w:r>
            <w:rPr>
              <w:rFonts w:eastAsia="Times New Roman" w:cs="Times New Roman" w:ascii="Times New Roman" w:hAnsi="Times New Roman"/>
              <w:b/>
              <w:bCs/>
              <w:color w:val="000000"/>
              <w:sz w:val="28"/>
              <w:szCs w:val="28"/>
            </w:rPr>
          </w:r>
        </w:p>
      </w:tc>
    </w:tr>
  </w:tbl>
  <w:p>
    <w:pPr>
      <w:pStyle w:val="normal1"/>
      <w:tabs>
        <w:tab w:val="clear" w:pos="720"/>
        <w:tab w:val="center" w:pos="4320" w:leader="none"/>
        <w:tab w:val="right" w:pos="8640" w:leader="none"/>
      </w:tabs>
      <w:jc w:val="right"/>
      <w:rPr>
        <w:sz w:val="24"/>
        <w:szCs w:val="24"/>
        <w:highlight w:val="red"/>
      </w:rPr>
    </w:pPr>
    <w:r>
      <w:rPr>
        <w:sz w:val="24"/>
        <w:szCs w:val="24"/>
        <w:highlight w:val="red"/>
      </w:rPr>
    </w:r>
  </w:p>
</w:hdr>
</file>

<file path=word/settings.xml><?xml version="1.0" encoding="utf-8"?>
<w:settings xmlns:w="http://schemas.openxmlformats.org/wordprocessingml/2006/main">
  <w:zoom w:percent="88"/>
  <w:embedTrueTypeFonts/>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A"/>
        <w:sz w:val="22"/>
        <w:szCs w:val="22"/>
        <w:lang w:val="en-US" w:eastAsia="zh-CN" w:bidi="hi-IN"/>
      </w:rPr>
    </w:rPrDefault>
    <w:pPrDefault>
      <w:pPr>
        <w:suppressAutoHyphens w:val="true"/>
      </w:pPr>
    </w:pPrDefault>
  </w:docDefaults>
  <w:style w:type="paragraph" w:styleId="Normal">
    <w:name w:val="Normal"/>
    <w:qFormat/>
    <w:pPr>
      <w:keepLines/>
      <w:widowControl/>
      <w:bidi w:val="0"/>
      <w:spacing w:before="0" w:after="0"/>
      <w:jc w:val="left"/>
    </w:pPr>
    <w:rPr>
      <w:rFonts w:ascii="Arial" w:hAnsi="Arial" w:eastAsia="Arial" w:cs="Arial"/>
      <w:color w:val="00000A"/>
      <w:kern w:val="0"/>
      <w:sz w:val="22"/>
      <w:szCs w:val="22"/>
      <w:lang w:val="en-US" w:eastAsia="zh-CN" w:bidi="hi-IN"/>
    </w:rPr>
  </w:style>
  <w:style w:type="paragraph" w:styleId="Heading1">
    <w:name w:val="heading 1"/>
    <w:basedOn w:val="normal1"/>
    <w:next w:val="normal1"/>
    <w:qFormat/>
    <w:pPr>
      <w:keepNext w:val="true"/>
      <w:keepLines w:val="false"/>
      <w:spacing w:lineRule="auto" w:line="240" w:before="480" w:after="120"/>
    </w:pPr>
    <w:rPr>
      <w:b/>
      <w:bCs/>
      <w:sz w:val="48"/>
      <w:szCs w:val="48"/>
    </w:rPr>
  </w:style>
  <w:style w:type="paragraph" w:styleId="Heading2">
    <w:name w:val="heading 2"/>
    <w:basedOn w:val="normal1"/>
    <w:next w:val="normal1"/>
    <w:qFormat/>
    <w:pPr>
      <w:keepNext w:val="true"/>
      <w:keepLines w:val="false"/>
      <w:spacing w:lineRule="auto" w:line="240" w:before="360" w:after="80"/>
    </w:pPr>
    <w:rPr>
      <w:b/>
      <w:bCs/>
      <w:sz w:val="36"/>
      <w:szCs w:val="36"/>
    </w:rPr>
  </w:style>
  <w:style w:type="paragraph" w:styleId="Heading3">
    <w:name w:val="heading 3"/>
    <w:basedOn w:val="normal1"/>
    <w:next w:val="normal1"/>
    <w:qFormat/>
    <w:pPr>
      <w:keepNext w:val="true"/>
      <w:keepLines w:val="false"/>
      <w:spacing w:lineRule="auto" w:line="240" w:before="280" w:after="80"/>
    </w:pPr>
    <w:rPr>
      <w:b/>
      <w:bCs/>
      <w:sz w:val="28"/>
      <w:szCs w:val="28"/>
    </w:rPr>
  </w:style>
  <w:style w:type="paragraph" w:styleId="Heading4">
    <w:name w:val="heading 4"/>
    <w:basedOn w:val="normal1"/>
    <w:next w:val="normal1"/>
    <w:qFormat/>
    <w:pPr>
      <w:keepNext w:val="true"/>
      <w:keepLines w:val="false"/>
      <w:spacing w:lineRule="auto" w:line="240" w:before="240" w:after="40"/>
    </w:pPr>
    <w:rPr>
      <w:b/>
      <w:bCs/>
      <w:sz w:val="24"/>
      <w:szCs w:val="24"/>
    </w:rPr>
  </w:style>
  <w:style w:type="paragraph" w:styleId="Heading5">
    <w:name w:val="heading 5"/>
    <w:basedOn w:val="normal1"/>
    <w:next w:val="normal1"/>
    <w:qFormat/>
    <w:pPr>
      <w:keepNext w:val="true"/>
      <w:keepLines w:val="false"/>
      <w:spacing w:lineRule="auto" w:line="240" w:before="220" w:after="40"/>
    </w:pPr>
    <w:rPr>
      <w:b/>
      <w:bCs/>
    </w:rPr>
  </w:style>
  <w:style w:type="paragraph" w:styleId="Heading6">
    <w:name w:val="heading 6"/>
    <w:basedOn w:val="normal1"/>
    <w:next w:val="normal1"/>
    <w:qFormat/>
    <w:pPr>
      <w:keepNext w:val="true"/>
      <w:keepLines w:val="false"/>
      <w:spacing w:lineRule="auto" w:line="240" w:before="200" w:after="40"/>
    </w:pPr>
    <w:rPr>
      <w:b/>
      <w:bCs/>
      <w:sz w:val="20"/>
      <w:szCs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keepLines/>
      <w:widowControl/>
      <w:bidi w:val="0"/>
      <w:spacing w:before="0" w:after="0"/>
      <w:jc w:val="left"/>
    </w:pPr>
    <w:rPr>
      <w:rFonts w:ascii="Arial" w:hAnsi="Arial" w:eastAsia="Arial" w:cs="Arial"/>
      <w:color w:val="00000A"/>
      <w:kern w:val="0"/>
      <w:sz w:val="22"/>
      <w:szCs w:val="22"/>
      <w:lang w:val="en-US" w:eastAsia="zh-CN" w:bidi="hi-IN"/>
    </w:rPr>
  </w:style>
  <w:style w:type="paragraph" w:styleId="Title">
    <w:name w:val="Title"/>
    <w:basedOn w:val="normal1"/>
    <w:next w:val="normal1"/>
    <w:qFormat/>
    <w:pPr>
      <w:keepNext w:val="true"/>
      <w:keepLines w:val="false"/>
      <w:spacing w:lineRule="auto" w:line="240" w:before="480" w:after="120"/>
    </w:pPr>
    <w:rPr>
      <w:b/>
      <w:bCs/>
      <w:sz w:val="72"/>
      <w:szCs w:val="72"/>
    </w:rPr>
  </w:style>
  <w:style w:type="paragraph" w:styleId="Subtitle">
    <w:name w:val="Subtitle"/>
    <w:basedOn w:val="normal1"/>
    <w:next w:val="normal1"/>
    <w:qFormat/>
    <w:pPr>
      <w:keepNext w:val="true"/>
      <w:keepLines w:val="false"/>
      <w:spacing w:lineRule="auto" w:line="240" w:before="360" w:after="80"/>
    </w:pPr>
    <w:rPr>
      <w:rFonts w:ascii="Georgia" w:hAnsi="Georgia" w:eastAsia="Georgia" w:cs="Georgia"/>
      <w:i/>
      <w:iCs/>
      <w:color w:val="666666"/>
      <w:sz w:val="48"/>
      <w:szCs w:val="48"/>
    </w:rPr>
  </w:style>
  <w:style w:type="paragraph" w:styleId="Cabealhoerodap">
    <w:name w:val="Cabeçalho e rodapé"/>
    <w:basedOn w:val="Normal"/>
    <w:qFormat/>
    <w:pPr/>
    <w:rPr/>
  </w:style>
  <w:style w:type="paragraph" w:styleId="Header">
    <w:name w:val="header"/>
    <w:basedOn w:val="Cabealhoerodap"/>
    <w:pPr/>
    <w:rPr/>
  </w:style>
  <w:style w:type="paragraph" w:styleId="Footer">
    <w:name w:val="footer"/>
    <w:basedOn w:val="Cabealhoerodap"/>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NREsjhBEbW7VWClr6B4H1uUwYhQ==">CgMxLjA4AHIhMWVscVVncEZ2RDRyaUQ3dW41QTFnUm9IYmtwdkJWZ3N3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LibreOffice/25.2.7.2$Windows_X86_64 LibreOffice_project/5cbfd1ab6520636bb5f7b99185aa69bd7456825d</Application>
  <AppVersion>15.0000</AppVersion>
  <Pages>12</Pages>
  <Words>3038</Words>
  <Characters>17042</Characters>
  <CharactersWithSpaces>19329</CharactersWithSpaces>
  <Paragraphs>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2026-05-21T16:10:51Z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lpwstr>false</vt:lpwstr>
  </property>
  <property fmtid="{D5CDD505-2E9C-101B-9397-08002B2CF9AE}" pid="3" name="LinksUpToDate">
    <vt:lpwstr>false</vt:lpwstr>
  </property>
  <property fmtid="{D5CDD505-2E9C-101B-9397-08002B2CF9AE}" pid="4" name="ScaleCrop">
    <vt:lpwstr>false</vt:lpwstr>
  </property>
  <property fmtid="{D5CDD505-2E9C-101B-9397-08002B2CF9AE}" pid="5" name="ShareDoc">
    <vt:lpwstr>false</vt:lpwstr>
  </property>
</Properties>
</file>