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4"/>
        <w:spacing w:before="288" w:after="288"/>
        <w:ind w:end="4"/>
        <w:rPr>
          <w:color w:val="111111"/>
        </w:rPr>
      </w:pPr>
      <w:r>
        <w:rPr>
          <w:color w:val="111111"/>
        </w:rPr>
        <w:t xml:space="preserve">EDITAL N.º </w:t>
      </w:r>
      <w:r>
        <w:rPr>
          <w:color w:val="111111"/>
        </w:rPr>
        <w:t xml:space="preserve">111/2026 - </w:t>
      </w:r>
      <w:r>
        <w:rPr>
          <w:color w:val="111111"/>
        </w:rPr>
        <w:t>PREGÃO ELETRÔNICO</w:t>
      </w:r>
    </w:p>
    <w:p>
      <w:pPr>
        <w:pStyle w:val="Normal"/>
        <w:keepLines w:val="false"/>
        <w:widowControl/>
        <w:spacing w:lineRule="auto" w:line="360" w:before="280" w:after="280"/>
        <w:ind w:start="23"/>
        <w:jc w:val="both"/>
        <w:rPr>
          <w:color w:val="111111"/>
        </w:rPr>
      </w:pPr>
      <w:r>
        <w:rPr>
          <w:rFonts w:eastAsia="Times New Roman" w:cs="Times New Roman" w:ascii="Times New Roman" w:hAnsi="Times New Roman"/>
          <w:b/>
          <w:bCs/>
          <w:color w:val="111111"/>
          <w:sz w:val="24"/>
          <w:szCs w:val="24"/>
        </w:rPr>
        <w:t>OBJETO:</w:t>
      </w:r>
      <w:r>
        <w:rPr>
          <w:rFonts w:eastAsia="Times New Roman" w:cs="Times New Roman" w:ascii="Times New Roman" w:hAnsi="Times New Roman"/>
          <w:color w:val="111111"/>
          <w:sz w:val="24"/>
          <w:szCs w:val="24"/>
        </w:rPr>
        <w:t xml:space="preserve"> </w:t>
      </w:r>
      <w:r>
        <w:rPr>
          <w:rFonts w:eastAsia="Times New Roman" w:cs="Times New Roman" w:ascii="Times New Roman" w:hAnsi="Times New Roman"/>
          <w:color w:val="111111"/>
          <w:sz w:val="24"/>
          <w:szCs w:val="24"/>
        </w:rPr>
        <w:t xml:space="preserve">Contratação, em regime de empreitada por preço global, de pessoa jurídica da área de engenharia para execução de subestação de 112,5kVA para o CORPO DE BOMBEIROS DE CANOAS, Av. Santos Ferreira, 965, bairro Mal, Rondon, com fornecimento de materiais de acordo com o projeto e conforme condições, quantidades e exigências estabelecidas neste instrumento. </w:t>
      </w:r>
      <w:r>
        <w:rPr>
          <w:rFonts w:eastAsia="Times New Roman" w:cs="Times New Roman" w:ascii="Times New Roman" w:hAnsi="Times New Roman"/>
          <w:color w:val="111111"/>
          <w:sz w:val="24"/>
          <w:szCs w:val="24"/>
        </w:rPr>
        <w:t xml:space="preserve">Recebimento das propostas: </w:t>
      </w:r>
      <w:r>
        <w:rPr>
          <w:rFonts w:eastAsia="Times New Roman" w:cs="Times New Roman" w:ascii="Times New Roman" w:hAnsi="Times New Roman"/>
          <w:color w:val="111111"/>
          <w:sz w:val="24"/>
          <w:szCs w:val="24"/>
        </w:rPr>
        <w:t xml:space="preserve">até às </w:t>
      </w:r>
      <w:r>
        <w:rPr>
          <w:rFonts w:eastAsia="Times New Roman" w:cs="Times New Roman" w:ascii="Times New Roman" w:hAnsi="Times New Roman"/>
          <w:color w:val="111111"/>
          <w:sz w:val="24"/>
          <w:szCs w:val="24"/>
        </w:rPr>
        <w:t>13horas</w:t>
      </w:r>
      <w:r>
        <w:rPr>
          <w:rFonts w:eastAsia="Times New Roman" w:cs="Times New Roman" w:ascii="Times New Roman" w:hAnsi="Times New Roman"/>
          <w:color w:val="111111"/>
          <w:sz w:val="24"/>
          <w:szCs w:val="24"/>
        </w:rPr>
        <w:t xml:space="preserve"> do dia: </w:t>
      </w:r>
      <w:r>
        <w:rPr>
          <w:rFonts w:eastAsia="Times New Roman" w:cs="Times New Roman" w:ascii="Times New Roman" w:hAnsi="Times New Roman"/>
          <w:color w:val="111111"/>
          <w:sz w:val="24"/>
          <w:szCs w:val="24"/>
        </w:rPr>
        <w:t>20</w:t>
      </w:r>
      <w:r>
        <w:rPr>
          <w:rFonts w:eastAsia="Times New Roman" w:cs="Times New Roman" w:ascii="Times New Roman" w:hAnsi="Times New Roman"/>
          <w:color w:val="111111"/>
          <w:sz w:val="24"/>
          <w:szCs w:val="24"/>
        </w:rPr>
        <w:t>/</w:t>
      </w:r>
      <w:r>
        <w:rPr>
          <w:rFonts w:eastAsia="Times New Roman" w:cs="Times New Roman" w:ascii="Times New Roman" w:hAnsi="Times New Roman"/>
          <w:color w:val="111111"/>
          <w:sz w:val="24"/>
          <w:szCs w:val="24"/>
        </w:rPr>
        <w:t>08</w:t>
      </w:r>
      <w:r>
        <w:rPr>
          <w:rFonts w:eastAsia="Times New Roman" w:cs="Times New Roman" w:ascii="Times New Roman" w:hAnsi="Times New Roman"/>
          <w:color w:val="111111"/>
          <w:sz w:val="24"/>
          <w:szCs w:val="24"/>
        </w:rPr>
        <w:t>/</w:t>
      </w:r>
      <w:r>
        <w:rPr>
          <w:rFonts w:eastAsia="Times New Roman" w:cs="Times New Roman" w:ascii="Times New Roman" w:hAnsi="Times New Roman"/>
          <w:color w:val="111111"/>
          <w:sz w:val="24"/>
          <w:szCs w:val="24"/>
        </w:rPr>
        <w:t>2026</w:t>
      </w:r>
      <w:r>
        <w:rPr>
          <w:rFonts w:eastAsia="Times New Roman" w:cs="Times New Roman" w:ascii="Times New Roman" w:hAnsi="Times New Roman"/>
          <w:color w:val="111111"/>
          <w:sz w:val="24"/>
          <w:szCs w:val="24"/>
        </w:rPr>
        <w:t xml:space="preserve">. </w:t>
      </w:r>
      <w:r>
        <w:rPr>
          <w:rFonts w:eastAsia="Times New Roman" w:cs="Times New Roman" w:ascii="Times New Roman" w:hAnsi="Times New Roman"/>
          <w:color w:val="111111"/>
          <w:sz w:val="24"/>
          <w:szCs w:val="24"/>
        </w:rPr>
        <w:t>Abertura das propostas:</w:t>
      </w:r>
      <w:r>
        <w:rPr>
          <w:rFonts w:eastAsia="Times New Roman" w:cs="Times New Roman" w:ascii="Times New Roman" w:hAnsi="Times New Roman"/>
          <w:color w:val="111111"/>
          <w:sz w:val="24"/>
          <w:szCs w:val="24"/>
        </w:rPr>
        <w:t xml:space="preserve"> às </w:t>
      </w:r>
      <w:r>
        <w:rPr>
          <w:rFonts w:eastAsia="Times New Roman" w:cs="Times New Roman" w:ascii="Times New Roman" w:hAnsi="Times New Roman"/>
          <w:color w:val="111111"/>
          <w:sz w:val="24"/>
          <w:szCs w:val="24"/>
        </w:rPr>
        <w:t>13</w:t>
      </w:r>
      <w:r>
        <w:rPr>
          <w:rFonts w:eastAsia="Times New Roman" w:cs="Times New Roman" w:ascii="Times New Roman" w:hAnsi="Times New Roman"/>
          <w:color w:val="111111"/>
          <w:sz w:val="24"/>
          <w:szCs w:val="24"/>
        </w:rPr>
        <w:t>horas</w:t>
      </w:r>
      <w:r>
        <w:rPr>
          <w:rFonts w:eastAsia="Times New Roman" w:cs="Times New Roman" w:ascii="Times New Roman" w:hAnsi="Times New Roman"/>
          <w:color w:val="111111"/>
          <w:sz w:val="24"/>
          <w:szCs w:val="24"/>
        </w:rPr>
        <w:t>10minutos</w:t>
      </w:r>
      <w:r>
        <w:rPr>
          <w:rFonts w:eastAsia="Times New Roman" w:cs="Times New Roman" w:ascii="Times New Roman" w:hAnsi="Times New Roman"/>
          <w:color w:val="111111"/>
          <w:sz w:val="24"/>
          <w:szCs w:val="24"/>
        </w:rPr>
        <w:t xml:space="preserve"> do dia: </w:t>
      </w:r>
      <w:r>
        <w:rPr>
          <w:rFonts w:eastAsia="Times New Roman" w:cs="Times New Roman" w:ascii="Times New Roman" w:hAnsi="Times New Roman"/>
          <w:color w:val="111111"/>
          <w:sz w:val="24"/>
          <w:szCs w:val="24"/>
        </w:rPr>
        <w:t>20</w:t>
      </w:r>
      <w:r>
        <w:rPr>
          <w:rFonts w:eastAsia="Times New Roman" w:cs="Times New Roman" w:ascii="Times New Roman" w:hAnsi="Times New Roman"/>
          <w:color w:val="111111"/>
          <w:sz w:val="24"/>
          <w:szCs w:val="24"/>
        </w:rPr>
        <w:t>/</w:t>
      </w:r>
      <w:r>
        <w:rPr>
          <w:rFonts w:eastAsia="Times New Roman" w:cs="Times New Roman" w:ascii="Times New Roman" w:hAnsi="Times New Roman"/>
          <w:color w:val="111111"/>
          <w:sz w:val="24"/>
          <w:szCs w:val="24"/>
        </w:rPr>
        <w:t>08</w:t>
      </w:r>
      <w:r>
        <w:rPr>
          <w:rFonts w:eastAsia="Times New Roman" w:cs="Times New Roman" w:ascii="Times New Roman" w:hAnsi="Times New Roman"/>
          <w:color w:val="111111"/>
          <w:sz w:val="24"/>
          <w:szCs w:val="24"/>
        </w:rPr>
        <w:t>/</w:t>
      </w:r>
      <w:r>
        <w:rPr>
          <w:rFonts w:eastAsia="Times New Roman" w:cs="Times New Roman" w:ascii="Times New Roman" w:hAnsi="Times New Roman"/>
          <w:color w:val="111111"/>
          <w:sz w:val="24"/>
          <w:szCs w:val="24"/>
        </w:rPr>
        <w:t>2026</w:t>
      </w:r>
      <w:r>
        <w:rPr>
          <w:rFonts w:eastAsia="Times New Roman" w:cs="Times New Roman" w:ascii="Times New Roman" w:hAnsi="Times New Roman"/>
          <w:color w:val="111111"/>
          <w:sz w:val="24"/>
          <w:szCs w:val="24"/>
        </w:rPr>
        <w:t xml:space="preserve">. </w:t>
      </w:r>
      <w:r>
        <w:rPr>
          <w:rFonts w:eastAsia="Times New Roman" w:cs="Times New Roman" w:ascii="Times New Roman" w:hAnsi="Times New Roman"/>
          <w:color w:val="111111"/>
          <w:sz w:val="24"/>
          <w:szCs w:val="24"/>
        </w:rPr>
        <w:t>Início da disputa:</w:t>
      </w:r>
      <w:r>
        <w:rPr>
          <w:rFonts w:eastAsia="Times New Roman" w:cs="Times New Roman" w:ascii="Times New Roman" w:hAnsi="Times New Roman"/>
          <w:color w:val="111111"/>
          <w:sz w:val="24"/>
          <w:szCs w:val="24"/>
        </w:rPr>
        <w:t xml:space="preserve"> às </w:t>
      </w:r>
      <w:r>
        <w:rPr>
          <w:rFonts w:eastAsia="Times New Roman" w:cs="Times New Roman" w:ascii="Times New Roman" w:hAnsi="Times New Roman"/>
          <w:color w:val="111111"/>
          <w:sz w:val="24"/>
          <w:szCs w:val="24"/>
        </w:rPr>
        <w:t>14</w:t>
      </w:r>
      <w:r>
        <w:rPr>
          <w:rFonts w:eastAsia="Times New Roman" w:cs="Times New Roman" w:ascii="Times New Roman" w:hAnsi="Times New Roman"/>
          <w:color w:val="111111"/>
          <w:sz w:val="24"/>
          <w:szCs w:val="24"/>
        </w:rPr>
        <w:t xml:space="preserve">horas do dia: </w:t>
      </w:r>
      <w:r>
        <w:rPr>
          <w:rFonts w:eastAsia="Times New Roman" w:cs="Times New Roman" w:ascii="Times New Roman" w:hAnsi="Times New Roman"/>
          <w:color w:val="111111"/>
          <w:sz w:val="24"/>
          <w:szCs w:val="24"/>
        </w:rPr>
        <w:t>20</w:t>
      </w:r>
      <w:r>
        <w:rPr>
          <w:rFonts w:eastAsia="Times New Roman" w:cs="Times New Roman" w:ascii="Times New Roman" w:hAnsi="Times New Roman"/>
          <w:color w:val="111111"/>
          <w:sz w:val="24"/>
          <w:szCs w:val="24"/>
        </w:rPr>
        <w:t>/</w:t>
      </w:r>
      <w:r>
        <w:rPr>
          <w:rFonts w:eastAsia="Times New Roman" w:cs="Times New Roman" w:ascii="Times New Roman" w:hAnsi="Times New Roman"/>
          <w:color w:val="111111"/>
          <w:sz w:val="24"/>
          <w:szCs w:val="24"/>
        </w:rPr>
        <w:t>08</w:t>
      </w:r>
      <w:r>
        <w:rPr>
          <w:rFonts w:eastAsia="Times New Roman" w:cs="Times New Roman" w:ascii="Times New Roman" w:hAnsi="Times New Roman"/>
          <w:color w:val="111111"/>
          <w:sz w:val="24"/>
          <w:szCs w:val="24"/>
        </w:rPr>
        <w:t>/</w:t>
      </w:r>
      <w:r>
        <w:rPr>
          <w:rFonts w:eastAsia="Times New Roman" w:cs="Times New Roman" w:ascii="Times New Roman" w:hAnsi="Times New Roman"/>
          <w:color w:val="111111"/>
          <w:sz w:val="24"/>
          <w:szCs w:val="24"/>
        </w:rPr>
        <w:t>2026</w:t>
      </w:r>
      <w:r>
        <w:rPr>
          <w:rFonts w:eastAsia="Times New Roman" w:cs="Times New Roman" w:ascii="Times New Roman" w:hAnsi="Times New Roman"/>
          <w:color w:val="111111"/>
          <w:sz w:val="24"/>
          <w:szCs w:val="24"/>
        </w:rPr>
        <w:t xml:space="preserve">, </w:t>
      </w:r>
      <w:r>
        <w:rPr>
          <w:rFonts w:eastAsia="Times New Roman" w:cs="Times New Roman" w:ascii="Times New Roman" w:hAnsi="Times New Roman"/>
          <w:color w:val="111111"/>
          <w:sz w:val="24"/>
          <w:szCs w:val="24"/>
        </w:rPr>
        <w:t>no sítio eletrônico https://pregaobanrisul.com.br/. Edital disponível no sítio eletrônico http://www.canoas.rs.gov.br/ e no https://pregaobanrisul.com.br/.</w:t>
      </w:r>
    </w:p>
    <w:p>
      <w:pPr>
        <w:pStyle w:val="Normal"/>
        <w:keepLines w:val="false"/>
        <w:widowControl/>
        <w:spacing w:lineRule="auto" w:line="276" w:before="280" w:after="280"/>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color w:val="111111"/>
        </w:rPr>
      </w:pPr>
      <w:r>
        <w:rPr>
          <w:rFonts w:eastAsia="Times New Roman" w:cs="Times New Roman" w:ascii="Times New Roman" w:hAnsi="Times New Roman"/>
          <w:color w:val="111111"/>
          <w:sz w:val="24"/>
          <w:szCs w:val="24"/>
        </w:rPr>
        <w:t>FERNANDA KAMIANECKY</w:t>
      </w:r>
    </w:p>
    <w:p>
      <w:pPr>
        <w:pStyle w:val="Normal"/>
        <w:pBdr/>
        <w:rPr>
          <w:color w:val="111111"/>
        </w:rPr>
      </w:pPr>
      <w:r>
        <w:rPr>
          <w:rFonts w:eastAsia="Times New Roman" w:cs="Times New Roman" w:ascii="Times New Roman" w:hAnsi="Times New Roman"/>
          <w:color w:val="111111"/>
          <w:sz w:val="24"/>
          <w:szCs w:val="24"/>
        </w:rPr>
        <w:t>Secretária Municipal de Licitações e Contratos</w:t>
      </w:r>
      <w:r>
        <w:br w:type="page"/>
      </w:r>
    </w:p>
    <w:p>
      <w:pPr>
        <w:pStyle w:val="Heading4"/>
        <w:spacing w:before="0" w:after="288"/>
        <w:rPr>
          <w:color w:val="111111"/>
        </w:rPr>
      </w:pPr>
      <w:r>
        <w:rPr>
          <w:color w:val="111111"/>
        </w:rPr>
        <w:t xml:space="preserve">EDITAL N.º </w:t>
      </w:r>
      <w:r>
        <w:rPr>
          <w:color w:val="111111"/>
        </w:rPr>
        <w:t xml:space="preserve">111/2026 - </w:t>
      </w:r>
      <w:r>
        <w:rPr>
          <w:color w:val="111111"/>
        </w:rPr>
        <w:t>PREGÃO ELETRÔNICO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 xml:space="preserve">CONTRATANTE: </w:t>
      </w:r>
      <w:r>
        <w:rPr>
          <w:rFonts w:eastAsia="Times New Roman" w:cs="Times New Roman" w:ascii="Times New Roman" w:hAnsi="Times New Roman"/>
          <w:color w:val="111111"/>
          <w:sz w:val="24"/>
          <w:szCs w:val="24"/>
          <w:highlight w:val="white"/>
        </w:rPr>
        <w:t>Município de Canoas/RS.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VALOR TOTAL DA CONTRATAÇÃO: </w:t>
      </w:r>
      <w:r>
        <w:rPr>
          <w:rFonts w:eastAsia="Times New Roman" w:cs="Times New Roman" w:ascii="Times New Roman" w:hAnsi="Times New Roman"/>
          <w:color w:val="111111"/>
          <w:sz w:val="24"/>
          <w:szCs w:val="24"/>
        </w:rPr>
        <w:t xml:space="preserve">R$  </w:t>
      </w:r>
      <w:r>
        <w:rPr>
          <w:rFonts w:eastAsia="Times New Roman" w:cs="Times New Roman" w:ascii="Times New Roman" w:hAnsi="Times New Roman"/>
          <w:color w:val="111111"/>
          <w:sz w:val="24"/>
          <w:szCs w:val="24"/>
        </w:rPr>
        <w:t>140.182,84 (cento e quarenta mil, cento e oitenta e dois reais e oitenta e quatro centavos).</w:t>
      </w:r>
    </w:p>
    <w:p>
      <w:pPr>
        <w:pStyle w:val="Normal"/>
        <w:keepLines w:val="false"/>
        <w:widowControl/>
        <w:spacing w:before="288" w:after="288"/>
        <w:jc w:val="both"/>
        <w:rPr>
          <w:color w:val="111111"/>
        </w:rPr>
      </w:pPr>
      <w:r>
        <w:rPr>
          <w:rFonts w:eastAsia="Times New Roman" w:cs="Times New Roman" w:ascii="Times New Roman" w:hAnsi="Times New Roman"/>
          <w:b/>
          <w:bCs/>
          <w:smallCaps/>
          <w:color w:val="111111"/>
          <w:sz w:val="24"/>
          <w:szCs w:val="24"/>
        </w:rPr>
        <w:t xml:space="preserve">CRITÉRIO DE JULGAMENTO: </w:t>
      </w:r>
      <w:r>
        <w:rPr>
          <w:rFonts w:eastAsia="Times New Roman" w:cs="Times New Roman" w:ascii="Times New Roman" w:hAnsi="Times New Roman"/>
          <w:color w:val="111111"/>
          <w:sz w:val="24"/>
          <w:szCs w:val="24"/>
        </w:rPr>
        <w:t>Maior desconto</w:t>
      </w:r>
    </w:p>
    <w:p>
      <w:pPr>
        <w:pStyle w:val="Normal"/>
        <w:keepLines w:val="false"/>
        <w:widowControl/>
        <w:spacing w:before="288" w:after="288"/>
        <w:jc w:val="both"/>
        <w:rPr>
          <w:color w:val="111111"/>
        </w:rPr>
      </w:pPr>
      <w:r>
        <w:rPr>
          <w:rFonts w:eastAsia="Times New Roman" w:cs="Times New Roman" w:ascii="Times New Roman" w:hAnsi="Times New Roman"/>
          <w:b/>
          <w:bCs/>
          <w:smallCaps/>
          <w:color w:val="111111"/>
          <w:sz w:val="24"/>
          <w:szCs w:val="24"/>
        </w:rPr>
        <w:t>MODO DE DISPUTA:</w:t>
      </w:r>
      <w:r>
        <w:rPr>
          <w:rFonts w:eastAsia="Times New Roman" w:cs="Times New Roman" w:ascii="Times New Roman" w:hAnsi="Times New Roman"/>
          <w:smallCaps/>
          <w:color w:val="111111"/>
          <w:sz w:val="24"/>
          <w:szCs w:val="24"/>
        </w:rPr>
        <w:t xml:space="preserve"> </w:t>
      </w:r>
      <w:r>
        <w:rPr>
          <w:rFonts w:eastAsia="Times New Roman" w:cs="Times New Roman" w:ascii="Times New Roman" w:hAnsi="Times New Roman"/>
          <w:color w:val="111111"/>
          <w:sz w:val="24"/>
          <w:szCs w:val="24"/>
        </w:rPr>
        <w:t>Aberto.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 xml:space="preserve">LICITAÇÃO COM RESERVA DE COTAS PARA ME/EPP: </w:t>
      </w:r>
      <w:r>
        <w:rPr>
          <w:rFonts w:eastAsia="Times New Roman" w:cs="Times New Roman" w:ascii="Times New Roman" w:hAnsi="Times New Roman"/>
          <w:color w:val="111111"/>
          <w:sz w:val="24"/>
          <w:szCs w:val="24"/>
          <w:highlight w:val="white"/>
        </w:rPr>
        <w:t>Não.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 xml:space="preserve">LICITAÇÃO COM COTA EXCLUSIVA: </w:t>
      </w:r>
      <w:r>
        <w:rPr>
          <w:rFonts w:eastAsia="Times New Roman" w:cs="Times New Roman" w:ascii="Times New Roman" w:hAnsi="Times New Roman"/>
          <w:color w:val="111111"/>
          <w:sz w:val="24"/>
          <w:szCs w:val="24"/>
          <w:highlight w:val="white"/>
        </w:rPr>
        <w:t>Não.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 xml:space="preserve">AMPLA PARTICIPAÇÃO ME/EPP: </w:t>
      </w:r>
      <w:r>
        <w:rPr>
          <w:rFonts w:eastAsia="Times New Roman" w:cs="Times New Roman" w:ascii="Times New Roman" w:hAnsi="Times New Roman"/>
          <w:color w:val="111111"/>
          <w:sz w:val="24"/>
          <w:szCs w:val="24"/>
          <w:highlight w:val="white"/>
        </w:rPr>
        <w:t>Sim.</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PERMITIDA PARTICIPAÇÃO DE EMPRESAS EM CONSÓRCIO:</w:t>
      </w:r>
      <w:r>
        <w:rPr>
          <w:rFonts w:eastAsia="Times New Roman" w:cs="Times New Roman" w:ascii="Times New Roman" w:hAnsi="Times New Roman"/>
          <w:color w:val="111111"/>
          <w:sz w:val="24"/>
          <w:szCs w:val="24"/>
          <w:highlight w:val="white"/>
        </w:rPr>
        <w:t xml:space="preserve"> Sim.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PROCESSO ADMINISTRATIVO ELETRÔNICO SEI N.º</w:t>
      </w:r>
      <w:r>
        <w:rPr>
          <w:rFonts w:eastAsia="Times New Roman" w:cs="Times New Roman" w:ascii="Times New Roman" w:hAnsi="Times New Roman"/>
          <w:color w:val="111111"/>
          <w:sz w:val="24"/>
          <w:szCs w:val="24"/>
        </w:rPr>
        <w:t xml:space="preserve"> 25.0.000097027-4.</w:t>
      </w:r>
    </w:p>
    <w:p>
      <w:pPr>
        <w:pStyle w:val="Normal"/>
        <w:keepLines w:val="false"/>
        <w:widowControl/>
        <w:spacing w:before="288" w:after="288"/>
        <w:jc w:val="both"/>
        <w:rPr/>
      </w:pPr>
      <w:r>
        <w:rPr>
          <w:rFonts w:eastAsia="Times New Roman" w:cs="Times New Roman" w:ascii="Times New Roman" w:hAnsi="Times New Roman"/>
          <w:color w:val="111111"/>
          <w:sz w:val="24"/>
          <w:szCs w:val="24"/>
        </w:rPr>
        <w:t xml:space="preserve">Torna-se público que o MUNICÍPIO DE CANOAS, por meio da Secretaria Municipal de Licitações e Contratos – SMLC, situada na Rua Cândido Machado, nº. 429, 4º. Andar, Bairro Centro, CEP: 92.010-270 em Canoas/RS realizará licitação, na modalidade PREGÃO, na forma ELETRÔNICA. A presente licitação reger-se-á pela Lei Federal n.º 14.133/2021, Lei Complementar Federal nº 123/2006, Decreto Municipal nº 171/2021, Decreto Municipal nº 549/2023, </w:t>
      </w:r>
      <w:hyperlink r:id="rId2">
        <w:r>
          <w:rPr>
            <w:rStyle w:val="Style3"/>
            <w:rFonts w:eastAsia="Times New Roman" w:cs="Times New Roman" w:ascii="Times New Roman" w:hAnsi="Times New Roman"/>
            <w:color w:val="111111"/>
            <w:sz w:val="24"/>
            <w:szCs w:val="24"/>
            <w:u w:val="single"/>
          </w:rPr>
          <w:t>Decreto Municipal nº 199, de 7 de julho de 2026</w:t>
        </w:r>
      </w:hyperlink>
      <w:r>
        <w:rPr>
          <w:rFonts w:eastAsia="Times New Roman" w:cs="Times New Roman" w:ascii="Times New Roman" w:hAnsi="Times New Roman"/>
          <w:color w:val="111111"/>
          <w:sz w:val="24"/>
          <w:szCs w:val="24"/>
        </w:rPr>
        <w:t>,</w:t>
      </w:r>
      <w:hyperlink r:id="rId3">
        <w:r>
          <w:rPr>
            <w:rStyle w:val="Style3"/>
            <w:rFonts w:eastAsia="Times New Roman" w:cs="Times New Roman" w:ascii="Times New Roman" w:hAnsi="Times New Roman"/>
            <w:color w:val="111111"/>
            <w:sz w:val="24"/>
            <w:szCs w:val="24"/>
            <w:u w:val="single"/>
          </w:rPr>
          <w:t xml:space="preserve"> Decreto Municipal n.º 200, de 7 de julho de 2026</w:t>
        </w:r>
      </w:hyperlink>
      <w:r>
        <w:rPr>
          <w:rFonts w:eastAsia="Times New Roman" w:cs="Times New Roman" w:ascii="Times New Roman" w:hAnsi="Times New Roman"/>
          <w:color w:val="111111"/>
          <w:sz w:val="24"/>
          <w:szCs w:val="24"/>
        </w:rPr>
        <w:t>, Decreto Municipal nº 110/2024 e demais legislações pertinentes e pelas condições previstas neste Edital e seus anexos.</w:t>
      </w:r>
    </w:p>
    <w:p>
      <w:pPr>
        <w:pStyle w:val="Heading1"/>
        <w:rPr>
          <w:color w:val="111111"/>
        </w:rPr>
      </w:pPr>
      <w:r>
        <w:rPr>
          <w:color w:val="111111"/>
        </w:rPr>
        <w:t>1. DO OBJETO</w:t>
      </w:r>
    </w:p>
    <w:p>
      <w:pPr>
        <w:pStyle w:val="Normal"/>
        <w:jc w:val="both"/>
        <w:rPr>
          <w:color w:val="111111"/>
        </w:rPr>
      </w:pPr>
      <w:r>
        <w:rPr>
          <w:rFonts w:eastAsia="Times New Roman" w:cs="Times New Roman" w:ascii="Times New Roman" w:hAnsi="Times New Roman"/>
          <w:b/>
          <w:bCs/>
          <w:color w:val="111111"/>
          <w:sz w:val="24"/>
          <w:szCs w:val="24"/>
        </w:rPr>
        <w:t xml:space="preserve">1.1. </w:t>
      </w:r>
      <w:r>
        <w:rPr>
          <w:rFonts w:eastAsia="Times New Roman" w:cs="Times New Roman" w:ascii="Times New Roman" w:hAnsi="Times New Roman"/>
          <w:color w:val="111111"/>
          <w:sz w:val="24"/>
          <w:szCs w:val="24"/>
        </w:rPr>
        <w:t>O objeto da presente licitação é c</w:t>
      </w:r>
      <w:r>
        <w:rPr>
          <w:rFonts w:eastAsia="Times New Roman" w:cs="Times New Roman" w:ascii="Times New Roman" w:hAnsi="Times New Roman"/>
          <w:color w:val="111111"/>
          <w:sz w:val="24"/>
          <w:szCs w:val="24"/>
        </w:rPr>
        <w:t>ontratação, em regime de empreitada por preço global, de pessoa jurídica da área de engenharia para execução de subestação de 112,5kVA para o CORPO DE BOMBEIROS DE CANOAS, Av. Santos Ferreira, 965, bairro Mal, Rondon, com fornecimento de materiais de acordo com o projeto e conforme condições, quantidades e exigências estabelecidas neste instrumento</w:t>
      </w:r>
      <w:r>
        <w:rPr>
          <w:rFonts w:eastAsia="Times New Roman" w:cs="Times New Roman" w:ascii="Times New Roman" w:hAnsi="Times New Roman"/>
          <w:color w:val="111111"/>
          <w:sz w:val="24"/>
          <w:szCs w:val="24"/>
        </w:rPr>
        <w:t>, p</w:t>
      </w:r>
      <w:r>
        <w:rPr>
          <w:rFonts w:eastAsia="Times New Roman" w:cs="Times New Roman" w:ascii="Times New Roman" w:hAnsi="Times New Roman"/>
          <w:color w:val="111111"/>
          <w:sz w:val="24"/>
          <w:szCs w:val="24"/>
          <w:highlight w:val="white"/>
        </w:rPr>
        <w:t xml:space="preserve">ara atender as necessidades da Administração Pública Municipal </w:t>
      </w:r>
      <w:r>
        <w:rPr>
          <w:rFonts w:eastAsia="Times New Roman" w:cs="Times New Roman" w:ascii="Times New Roman" w:hAnsi="Times New Roman"/>
          <w:color w:val="111111"/>
          <w:sz w:val="24"/>
          <w:szCs w:val="24"/>
        </w:rPr>
        <w:t>conforme condições, quantidades e exigências estabelecidas neste Edital e seus Anexos.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1.2. </w:t>
      </w:r>
      <w:r>
        <w:rPr>
          <w:rFonts w:eastAsia="Times New Roman" w:cs="Times New Roman" w:ascii="Times New Roman" w:hAnsi="Times New Roman"/>
          <w:color w:val="111111"/>
          <w:sz w:val="24"/>
          <w:szCs w:val="24"/>
        </w:rPr>
        <w:t xml:space="preserve">A forma como a licitação está dividida pode ser verificada no Anexo I do Termo de Referência deste Edital. </w:t>
      </w:r>
    </w:p>
    <w:p>
      <w:pPr>
        <w:pStyle w:val="Heading1"/>
        <w:rPr>
          <w:color w:val="111111"/>
        </w:rPr>
      </w:pPr>
      <w:r>
        <w:rPr>
          <w:color w:val="111111"/>
        </w:rPr>
        <w:t>2. DA PARTICIPAÇÃO NA LICITAÇÃO</w:t>
      </w:r>
    </w:p>
    <w:p>
      <w:pPr>
        <w:pStyle w:val="Normal"/>
        <w:keepLines w:val="false"/>
        <w:widowControl/>
        <w:spacing w:before="288" w:after="288"/>
        <w:jc w:val="both"/>
        <w:rPr/>
      </w:pPr>
      <w:r>
        <w:rPr>
          <w:rFonts w:eastAsia="Times New Roman" w:cs="Times New Roman" w:ascii="Times New Roman" w:hAnsi="Times New Roman"/>
          <w:b/>
          <w:bCs/>
          <w:color w:val="111111"/>
          <w:sz w:val="24"/>
          <w:szCs w:val="24"/>
        </w:rPr>
        <w:t xml:space="preserve">2.1. </w:t>
      </w:r>
      <w:r>
        <w:rPr>
          <w:rFonts w:eastAsia="Times New Roman" w:cs="Times New Roman" w:ascii="Times New Roman" w:hAnsi="Times New Roman"/>
          <w:color w:val="111111"/>
          <w:sz w:val="24"/>
          <w:szCs w:val="24"/>
        </w:rPr>
        <w:t>Os interessados em participar na presente licitação deverão estar regularmente credenciados junto ao provedor do sistema, dispor de chave de identificação e senha pessoal (intransferíveis)  através do site</w:t>
      </w:r>
      <w:hyperlink r:id="rId4">
        <w:r>
          <w:rPr>
            <w:rStyle w:val="Style3"/>
            <w:rFonts w:eastAsia="Times New Roman" w:cs="Times New Roman" w:ascii="Times New Roman" w:hAnsi="Times New Roman"/>
            <w:color w:val="111111"/>
            <w:sz w:val="24"/>
            <w:szCs w:val="24"/>
          </w:rPr>
          <w:t xml:space="preserve"> </w:t>
        </w:r>
      </w:hyperlink>
      <w:hyperlink r:id="rId5">
        <w:r>
          <w:rPr>
            <w:rStyle w:val="Style3"/>
            <w:rFonts w:eastAsia="Times New Roman" w:cs="Times New Roman" w:ascii="Times New Roman" w:hAnsi="Times New Roman"/>
            <w:color w:val="111111"/>
            <w:sz w:val="24"/>
            <w:szCs w:val="24"/>
            <w:u w:val="single"/>
          </w:rPr>
          <w:t>www.pregaobanrisul.com.br</w:t>
        </w:r>
      </w:hyperlink>
      <w:r>
        <w:rPr>
          <w:rFonts w:eastAsia="Times New Roman" w:cs="Times New Roman" w:ascii="Times New Roman" w:hAnsi="Times New Roman"/>
          <w:color w:val="111111"/>
          <w:sz w:val="24"/>
          <w:szCs w:val="24"/>
        </w:rPr>
        <w:t xml:space="preserve"> necessitando estar credenciadas junto à Seção de Cadastro da Central de Compras/RS - CELIC, podendo também ser acessada através do site</w:t>
      </w:r>
      <w:hyperlink r:id="rId6">
        <w:r>
          <w:rPr>
            <w:rStyle w:val="Style3"/>
            <w:rFonts w:eastAsia="Times New Roman" w:cs="Times New Roman" w:ascii="Times New Roman" w:hAnsi="Times New Roman"/>
            <w:color w:val="111111"/>
            <w:sz w:val="24"/>
            <w:szCs w:val="24"/>
            <w:u w:val="single"/>
          </w:rPr>
          <w:t xml:space="preserve"> www.celic.rs.gov.br</w:t>
        </w:r>
      </w:hyperlink>
      <w:r>
        <w:rPr>
          <w:rFonts w:eastAsia="Times New Roman" w:cs="Times New Roman" w:ascii="Times New Roman" w:hAnsi="Times New Roman"/>
          <w:color w:val="111111"/>
          <w:sz w:val="24"/>
          <w:szCs w:val="24"/>
          <w:u w:val="single"/>
        </w:rPr>
        <w:t>.</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2.2.  </w:t>
      </w:r>
      <w:r>
        <w:rPr>
          <w:rFonts w:eastAsia="Times New Roman" w:cs="Times New Roman" w:ascii="Times New Roman" w:hAnsi="Times New Roman"/>
          <w:color w:val="111111"/>
          <w:sz w:val="24"/>
          <w:szCs w:val="24"/>
        </w:rPr>
        <w:t>O credenciamento dar-se-á pela atribuição de chave de identificação e de senha, pessoal e intransferível, para acesso ao sistema eletrônico.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2.2.1. </w:t>
      </w:r>
      <w:r>
        <w:rPr>
          <w:rFonts w:eastAsia="Times New Roman" w:cs="Times New Roman" w:ascii="Times New Roman" w:hAnsi="Times New Roman"/>
          <w:color w:val="111111"/>
          <w:sz w:val="24"/>
          <w:szCs w:val="24"/>
        </w:rPr>
        <w:t>A chave de identificação e a senha recebida junto à CELIC poderão ser utilizadas em qualquer pregão eletrônico, salvo quando canceladas por solicitação do credenciado ou outro fato impeditivo de participação de licitação em órgãos públicos.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2.2.2.</w:t>
      </w:r>
      <w:r>
        <w:rPr>
          <w:rFonts w:eastAsia="Times New Roman" w:cs="Times New Roman" w:ascii="Times New Roman" w:hAnsi="Times New Roman"/>
          <w:color w:val="111111"/>
          <w:sz w:val="24"/>
          <w:szCs w:val="24"/>
        </w:rPr>
        <w:t xml:space="preserve"> É de exclusiva responsabilidade do usuário o sigilo da senha, bem como seu uso em qualquer transação efetuada diretamente ou por seu representante, não cabendo ao BANRISUL S/A. (provedor do sistema) ou ao Município de Canoas responsabilidade por eventuais danos decorrentes de uso indevido da senha, ainda que por terceiros.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2.2.3. </w:t>
      </w:r>
      <w:r>
        <w:rPr>
          <w:rFonts w:eastAsia="Times New Roman" w:cs="Times New Roman" w:ascii="Times New Roman" w:hAnsi="Times New Roman"/>
          <w:color w:val="111111"/>
          <w:sz w:val="24"/>
          <w:szCs w:val="24"/>
        </w:rPr>
        <w:t>A perda da senha ou a quebra de sigilo deverão ser comunicadas imediatamente ao provedor do sistema, para imediato bloqueio de acesso.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2.3. </w:t>
      </w:r>
      <w:r>
        <w:rPr>
          <w:rFonts w:eastAsia="Times New Roman" w:cs="Times New Roman" w:ascii="Times New Roman" w:hAnsi="Times New Roman"/>
          <w:color w:val="111111"/>
          <w:sz w:val="24"/>
          <w:szCs w:val="24"/>
        </w:rPr>
        <w:t>O credenciamento do licitante ou de seu representante implica a responsabilidade legal pelos atos praticados e a presunção de sua capacidade técnica para realização das transações inerentes ao pregão eletrônico.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2.4. </w:t>
      </w:r>
      <w:r>
        <w:rPr>
          <w:rFonts w:eastAsia="Times New Roman" w:cs="Times New Roman" w:ascii="Times New Roman" w:hAnsi="Times New Roman"/>
          <w:color w:val="111111"/>
          <w:sz w:val="24"/>
          <w:szCs w:val="24"/>
        </w:rPr>
        <w:t>O licitante será responsável por todas as transações que forem efetuadas em seu nome no sistema eletrônico, assumindo como firmes e verdadeiras suas propostas e lances.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2.5.</w:t>
      </w:r>
      <w:r>
        <w:rPr>
          <w:rFonts w:eastAsia="Times New Roman" w:cs="Times New Roman" w:ascii="Times New Roman" w:hAnsi="Times New Roman"/>
          <w:color w:val="111111"/>
          <w:sz w:val="24"/>
          <w:szCs w:val="24"/>
        </w:rPr>
        <w:t xml:space="preserve"> No caso de participação de empresas em consórcio, o credenciamento e a operação do sistema eletrônico devem ser realizados pela empresa líder do consórcio.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2.6.</w:t>
      </w:r>
      <w:r>
        <w:rPr>
          <w:rFonts w:eastAsia="Times New Roman" w:cs="Times New Roman" w:ascii="Times New Roman" w:hAnsi="Times New Roman"/>
          <w:color w:val="111111"/>
          <w:sz w:val="24"/>
          <w:szCs w:val="24"/>
        </w:rPr>
        <w:t xml:space="preserve"> O Anexo I do Termo de Referência indicará, se for caso, para quais itens a participação será exclusiva para microempresas e empresas de pequeno porte, nos termos do art. 48 da Lei Complementar nº. 123, de 14 de dezembro de 2006.</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2.6.1. </w:t>
      </w:r>
      <w:r>
        <w:rPr>
          <w:rFonts w:eastAsia="Times New Roman" w:cs="Times New Roman" w:ascii="Times New Roman" w:hAnsi="Times New Roman"/>
          <w:color w:val="111111"/>
          <w:sz w:val="24"/>
          <w:szCs w:val="24"/>
        </w:rPr>
        <w:t>A obtenção do benefício a que se refere o subitem anterior fica limitada às microempresas e às empresas de pequeno porte que, no ano-calendário de realização da licitação, ainda não tenham celebrado contratos com a Administração Pública cujos valores somados extrapolam a receita bruta máxima admitida para fins de enquadramento como empresa de pequeno porte.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2.7.</w:t>
      </w:r>
      <w:r>
        <w:rPr>
          <w:rFonts w:eastAsia="Times New Roman" w:cs="Times New Roman" w:ascii="Times New Roman" w:hAnsi="Times New Roman"/>
          <w:color w:val="111111"/>
          <w:sz w:val="24"/>
          <w:szCs w:val="24"/>
        </w:rPr>
        <w:t xml:space="preserve"> Será concedido tratamento favorecido para as microempresas e empresas de pequeno porte e, quando for o caso, as equiparadas, nos limites previstos na Lei Complementar nº. 123/2006 e para as sociedades cooperativas mencionadas no art. 16 da Lei Federal nº. 14.133/2021. </w:t>
      </w:r>
    </w:p>
    <w:p>
      <w:pPr>
        <w:pStyle w:val="Normal"/>
        <w:widowControl/>
        <w:spacing w:before="288" w:after="288"/>
        <w:jc w:val="both"/>
        <w:rPr>
          <w:color w:val="111111"/>
        </w:rPr>
      </w:pPr>
      <w:r>
        <w:rPr>
          <w:rFonts w:eastAsia="Times New Roman" w:cs="Times New Roman" w:ascii="Times New Roman" w:hAnsi="Times New Roman"/>
          <w:b/>
          <w:bCs/>
          <w:color w:val="111111"/>
          <w:sz w:val="24"/>
          <w:szCs w:val="24"/>
        </w:rPr>
        <w:t xml:space="preserve">2.8. </w:t>
      </w:r>
      <w:r>
        <w:rPr>
          <w:rFonts w:eastAsia="Times New Roman" w:cs="Times New Roman" w:ascii="Times New Roman" w:hAnsi="Times New Roman"/>
          <w:color w:val="111111"/>
          <w:sz w:val="24"/>
          <w:szCs w:val="24"/>
        </w:rPr>
        <w:t>Para fins de fruição do tratamento favorecido no âmbito do certame, equiparam-se às microempresas e empresas de pequeno porte, nos termos do Decreto Municipal nº 110/2024:</w:t>
      </w:r>
    </w:p>
    <w:p>
      <w:pPr>
        <w:pStyle w:val="Normal"/>
        <w:widowControl/>
        <w:spacing w:before="288" w:after="288"/>
        <w:jc w:val="both"/>
        <w:rPr>
          <w:color w:val="111111"/>
        </w:rPr>
      </w:pPr>
      <w:r>
        <w:rPr>
          <w:rFonts w:eastAsia="Times New Roman" w:cs="Times New Roman" w:ascii="Times New Roman" w:hAnsi="Times New Roman"/>
          <w:b/>
          <w:bCs/>
          <w:color w:val="111111"/>
          <w:sz w:val="24"/>
          <w:szCs w:val="24"/>
        </w:rPr>
        <w:t>2.8.1.</w:t>
      </w:r>
      <w:r>
        <w:rPr>
          <w:rFonts w:eastAsia="Times New Roman" w:cs="Times New Roman" w:ascii="Times New Roman" w:hAnsi="Times New Roman"/>
          <w:color w:val="111111"/>
          <w:sz w:val="24"/>
          <w:szCs w:val="24"/>
        </w:rPr>
        <w:t xml:space="preserve"> O microempreendedor individual;</w:t>
      </w:r>
    </w:p>
    <w:p>
      <w:pPr>
        <w:pStyle w:val="Normal"/>
        <w:widowControl/>
        <w:spacing w:before="288" w:after="288"/>
        <w:jc w:val="both"/>
        <w:rPr>
          <w:color w:val="111111"/>
        </w:rPr>
      </w:pPr>
      <w:r>
        <w:rPr>
          <w:rFonts w:eastAsia="Times New Roman" w:cs="Times New Roman" w:ascii="Times New Roman" w:hAnsi="Times New Roman"/>
          <w:b/>
          <w:bCs/>
          <w:color w:val="111111"/>
          <w:sz w:val="24"/>
          <w:szCs w:val="24"/>
        </w:rPr>
        <w:t>2.8.2.</w:t>
      </w:r>
      <w:r>
        <w:rPr>
          <w:rFonts w:eastAsia="Times New Roman" w:cs="Times New Roman" w:ascii="Times New Roman" w:hAnsi="Times New Roman"/>
          <w:color w:val="111111"/>
          <w:sz w:val="24"/>
          <w:szCs w:val="24"/>
        </w:rPr>
        <w:t xml:space="preserve"> O agricultor familiar;</w:t>
      </w:r>
    </w:p>
    <w:p>
      <w:pPr>
        <w:pStyle w:val="Normal"/>
        <w:widowControl/>
        <w:spacing w:before="288" w:after="288"/>
        <w:jc w:val="both"/>
        <w:rPr>
          <w:color w:val="111111"/>
        </w:rPr>
      </w:pPr>
      <w:r>
        <w:rPr>
          <w:rFonts w:eastAsia="Times New Roman" w:cs="Times New Roman" w:ascii="Times New Roman" w:hAnsi="Times New Roman"/>
          <w:b/>
          <w:bCs/>
          <w:color w:val="111111"/>
          <w:sz w:val="24"/>
          <w:szCs w:val="24"/>
        </w:rPr>
        <w:t>2.8.3.</w:t>
      </w:r>
      <w:r>
        <w:rPr>
          <w:rFonts w:eastAsia="Times New Roman" w:cs="Times New Roman" w:ascii="Times New Roman" w:hAnsi="Times New Roman"/>
          <w:color w:val="111111"/>
          <w:sz w:val="24"/>
          <w:szCs w:val="24"/>
        </w:rPr>
        <w:t xml:space="preserve"> O produtor rural pessoa física; e</w:t>
      </w:r>
    </w:p>
    <w:p>
      <w:pPr>
        <w:pStyle w:val="Normal"/>
        <w:widowControl/>
        <w:spacing w:before="288" w:after="288"/>
        <w:jc w:val="both"/>
        <w:rPr>
          <w:color w:val="111111"/>
        </w:rPr>
      </w:pPr>
      <w:r>
        <w:rPr>
          <w:rFonts w:eastAsia="Times New Roman" w:cs="Times New Roman" w:ascii="Times New Roman" w:hAnsi="Times New Roman"/>
          <w:b/>
          <w:bCs/>
          <w:color w:val="111111"/>
          <w:sz w:val="24"/>
          <w:szCs w:val="24"/>
        </w:rPr>
        <w:t>2.8.4.</w:t>
      </w:r>
      <w:r>
        <w:rPr>
          <w:rFonts w:eastAsia="Times New Roman" w:cs="Times New Roman" w:ascii="Times New Roman" w:hAnsi="Times New Roman"/>
          <w:color w:val="111111"/>
          <w:sz w:val="24"/>
          <w:szCs w:val="24"/>
        </w:rPr>
        <w:t xml:space="preserve"> A sociedade cooperativa.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2.9. </w:t>
      </w:r>
      <w:r>
        <w:rPr>
          <w:rFonts w:eastAsia="Times New Roman" w:cs="Times New Roman" w:ascii="Times New Roman" w:hAnsi="Times New Roman"/>
          <w:color w:val="111111"/>
          <w:sz w:val="24"/>
          <w:szCs w:val="24"/>
        </w:rPr>
        <w:t>A participação na presente licitação implica a aceitação plena e irrevogável de todos os termos, cláusulas e condições constantes deste Edital, bem como a observância dos preceitos legais e regulamentares em vigor e a responsabilidade pela fidelidade e legitimidade das informações e dos documentos apresentados em qualquer fase do procedimento.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2.10.</w:t>
      </w:r>
      <w:r>
        <w:rPr>
          <w:rFonts w:eastAsia="Times New Roman" w:cs="Times New Roman" w:ascii="Times New Roman" w:hAnsi="Times New Roman"/>
          <w:color w:val="111111"/>
          <w:sz w:val="24"/>
          <w:szCs w:val="24"/>
        </w:rPr>
        <w:t xml:space="preserve"> Não poderão disputar esta licitação: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2.10.1.</w:t>
      </w:r>
      <w:r>
        <w:rPr>
          <w:rFonts w:eastAsia="Times New Roman" w:cs="Times New Roman" w:ascii="Times New Roman" w:hAnsi="Times New Roman"/>
          <w:color w:val="111111"/>
          <w:sz w:val="24"/>
          <w:szCs w:val="24"/>
        </w:rPr>
        <w:t xml:space="preserve"> Aquele que não atenda às condições deste Edital e seu(s) anexo(s);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2.10.2.</w:t>
      </w:r>
      <w:r>
        <w:rPr>
          <w:rFonts w:eastAsia="Times New Roman" w:cs="Times New Roman" w:ascii="Times New Roman" w:hAnsi="Times New Roman"/>
          <w:color w:val="111111"/>
          <w:sz w:val="24"/>
          <w:szCs w:val="24"/>
        </w:rPr>
        <w:t xml:space="preserve"> Autor do anteprojeto, do projeto básico ou do projeto executivo, pessoa física ou jurídica, quando a licitação versar sobre serviços ou fornecimento de bens a ele relacionados;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2.10.3.</w:t>
      </w:r>
      <w:r>
        <w:rPr>
          <w:rFonts w:eastAsia="Times New Roman" w:cs="Times New Roman" w:ascii="Times New Roman" w:hAnsi="Times New Roman"/>
          <w:color w:val="111111"/>
          <w:sz w:val="24"/>
          <w:szCs w:val="24"/>
        </w:rPr>
        <w:t xml:space="preserve">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2.10.4. </w:t>
      </w:r>
      <w:r>
        <w:rPr>
          <w:rFonts w:eastAsia="Times New Roman" w:cs="Times New Roman" w:ascii="Times New Roman" w:hAnsi="Times New Roman"/>
          <w:color w:val="111111"/>
          <w:sz w:val="24"/>
          <w:szCs w:val="24"/>
        </w:rPr>
        <w:t>Pessoa física ou jurídica que se encontre, ao tempo da licitação, impossibilitada de participar da licitação em decorrência de sanção que lhe foi imposta;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2.10.5.</w:t>
      </w:r>
      <w:r>
        <w:rPr>
          <w:rFonts w:eastAsia="Times New Roman" w:cs="Times New Roman" w:ascii="Times New Roman" w:hAnsi="Times New Roman"/>
          <w:color w:val="111111"/>
          <w:sz w:val="24"/>
          <w:szCs w:val="24"/>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2.10.6. </w:t>
      </w:r>
      <w:r>
        <w:rPr>
          <w:rFonts w:eastAsia="Times New Roman" w:cs="Times New Roman" w:ascii="Times New Roman" w:hAnsi="Times New Roman"/>
          <w:color w:val="111111"/>
          <w:sz w:val="24"/>
          <w:szCs w:val="24"/>
        </w:rPr>
        <w:t xml:space="preserve">Empresas controladoras, controladas ou coligadas, nos termos da Lei Federal n.º 6.404, de 15 de dezembro de 1976, concorrendo entre si;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 xml:space="preserve">2.10.7. </w:t>
      </w:r>
      <w:r>
        <w:rPr>
          <w:rFonts w:eastAsia="Times New Roman" w:cs="Times New Roman" w:ascii="Times New Roman" w:hAnsi="Times New Roman"/>
          <w:color w:val="111111"/>
          <w:sz w:val="24"/>
          <w:szCs w:val="24"/>
          <w:highlight w:val="white"/>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2.10.8.</w:t>
      </w:r>
      <w:r>
        <w:rPr>
          <w:rFonts w:eastAsia="Times New Roman" w:cs="Times New Roman" w:ascii="Times New Roman" w:hAnsi="Times New Roman"/>
          <w:color w:val="111111"/>
          <w:sz w:val="24"/>
          <w:szCs w:val="24"/>
          <w:highlight w:val="white"/>
        </w:rPr>
        <w:t xml:space="preserve"> </w:t>
      </w:r>
      <w:r>
        <w:rPr>
          <w:rFonts w:eastAsia="Times New Roman" w:cs="Times New Roman" w:ascii="Times New Roman" w:hAnsi="Times New Roman"/>
          <w:color w:val="111111"/>
          <w:sz w:val="24"/>
          <w:szCs w:val="24"/>
        </w:rPr>
        <w:t>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Federal n.º 14.133/2021.</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2.11.</w:t>
      </w:r>
      <w:r>
        <w:rPr>
          <w:rFonts w:eastAsia="Times New Roman" w:cs="Times New Roman" w:ascii="Times New Roman" w:hAnsi="Times New Roman"/>
          <w:color w:val="111111"/>
          <w:sz w:val="24"/>
          <w:szCs w:val="24"/>
        </w:rPr>
        <w:t xml:space="preserve"> O impedimento de que trata o item 2.10.4. será também aplicado à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2.12.</w:t>
      </w:r>
      <w:r>
        <w:rPr>
          <w:rFonts w:eastAsia="Times New Roman" w:cs="Times New Roman" w:ascii="Times New Roman" w:hAnsi="Times New Roman"/>
          <w:color w:val="111111"/>
          <w:sz w:val="24"/>
          <w:szCs w:val="24"/>
        </w:rPr>
        <w:t xml:space="preserve"> A critério da Administração e exclusivamente a seu serviço, o autor dos projetos e a empresa a que se referem os itens 2.10.2. e 2.10.3. poderão participar no apoio das atividades de planejamento da contratação, de execução da licitação ou de gestão do contrato, desde que sob supervisão exclusiva de agentes públicos do órgão ou entidade.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2.13. </w:t>
      </w:r>
      <w:r>
        <w:rPr>
          <w:rFonts w:eastAsia="Times New Roman" w:cs="Times New Roman" w:ascii="Times New Roman" w:hAnsi="Times New Roman"/>
          <w:color w:val="111111"/>
          <w:sz w:val="24"/>
          <w:szCs w:val="24"/>
        </w:rPr>
        <w:t>Equiparam-se aos autores do projeto as empresas integrantes do mesmo grupo econômico.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2.14.</w:t>
      </w:r>
      <w:r>
        <w:rPr>
          <w:rFonts w:eastAsia="Times New Roman" w:cs="Times New Roman" w:ascii="Times New Roman" w:hAnsi="Times New Roman"/>
          <w:color w:val="111111"/>
          <w:sz w:val="24"/>
          <w:szCs w:val="24"/>
        </w:rPr>
        <w:t xml:space="preserve"> O disposto nos itens </w:t>
      </w:r>
      <w:r>
        <w:rPr>
          <w:rFonts w:eastAsia="Times New Roman" w:cs="Times New Roman" w:ascii="Times New Roman" w:hAnsi="Times New Roman"/>
          <w:b/>
          <w:bCs/>
          <w:color w:val="111111"/>
          <w:sz w:val="24"/>
          <w:szCs w:val="24"/>
        </w:rPr>
        <w:t>2.10.2.</w:t>
      </w:r>
      <w:r>
        <w:rPr>
          <w:rFonts w:eastAsia="Times New Roman" w:cs="Times New Roman" w:ascii="Times New Roman" w:hAnsi="Times New Roman"/>
          <w:color w:val="111111"/>
          <w:sz w:val="24"/>
          <w:szCs w:val="24"/>
        </w:rPr>
        <w:t xml:space="preserve"> e </w:t>
      </w:r>
      <w:r>
        <w:rPr>
          <w:rFonts w:eastAsia="Times New Roman" w:cs="Times New Roman" w:ascii="Times New Roman" w:hAnsi="Times New Roman"/>
          <w:b/>
          <w:bCs/>
          <w:color w:val="111111"/>
          <w:sz w:val="24"/>
          <w:szCs w:val="24"/>
        </w:rPr>
        <w:t>2.10.3.</w:t>
      </w:r>
      <w:r>
        <w:rPr>
          <w:rFonts w:eastAsia="Times New Roman" w:cs="Times New Roman" w:ascii="Times New Roman" w:hAnsi="Times New Roman"/>
          <w:color w:val="111111"/>
          <w:sz w:val="24"/>
          <w:szCs w:val="24"/>
        </w:rPr>
        <w:t xml:space="preserve"> não impede a licitação ou a contratação de serviço que inclua como encargo do contratado a elaboração do projeto básico e do projeto executivo, nas contratações integradas, e do projeto executivo, na contratação semi-integrada.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2.15. </w:t>
      </w:r>
      <w:r>
        <w:rPr>
          <w:rFonts w:eastAsia="Times New Roman" w:cs="Times New Roman" w:ascii="Times New Roman" w:hAnsi="Times New Roman"/>
          <w:color w:val="111111"/>
          <w:sz w:val="24"/>
          <w:szCs w:val="24"/>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Federal n.º 14.133/2021. </w:t>
      </w:r>
    </w:p>
    <w:p>
      <w:pPr>
        <w:pStyle w:val="Normal"/>
        <w:keepLines w:val="false"/>
        <w:widowControl/>
        <w:spacing w:before="288" w:after="288"/>
        <w:jc w:val="both"/>
        <w:rPr>
          <w:color w:val="111111"/>
        </w:rPr>
      </w:pPr>
      <w:sdt>
        <w:sdtPr>
          <w:tag w:val="goog_rdk_0"/>
          <w:id w:val="-74124379"/>
        </w:sdtPr>
        <w:sdtContent>
          <w:r>
            <w:rPr>
              <w:color w:val="111111"/>
            </w:rPr>
          </w:r>
          <w:r>
            <w:rPr>
              <w:color w:val="111111"/>
            </w:rPr>
          </w:r>
        </w:sdtContent>
      </w:sdt>
      <w:r>
        <w:rPr>
          <w:rFonts w:eastAsia="Times New Roman" w:cs="Times New Roman" w:ascii="Times New Roman" w:hAnsi="Times New Roman"/>
          <w:b/>
          <w:bCs/>
          <w:color w:val="111111"/>
          <w:sz w:val="24"/>
          <w:szCs w:val="24"/>
        </w:rPr>
        <w:t xml:space="preserve">2.16. </w:t>
      </w:r>
      <w:r>
        <w:rPr>
          <w:rFonts w:eastAsia="Times New Roman" w:cs="Times New Roman" w:ascii="Times New Roman" w:hAnsi="Times New Roman"/>
          <w:color w:val="111111"/>
          <w:sz w:val="24"/>
          <w:szCs w:val="24"/>
        </w:rPr>
        <w:t>Não poderá participar direta ou indiretamente desta licitação o licitante com decretação de falência, em processo de recuperação judicial ou extrajudicial, salvo mediante autorização do juízo em que tramita o procedimento da recuperação judicial, sendo necessário apresentação dos seguintes documentos relativos à habilitação: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a) </w:t>
      </w:r>
      <w:r>
        <w:rPr>
          <w:rFonts w:eastAsia="Times New Roman" w:cs="Times New Roman" w:ascii="Times New Roman" w:hAnsi="Times New Roman"/>
          <w:color w:val="111111"/>
          <w:sz w:val="24"/>
          <w:szCs w:val="24"/>
        </w:rPr>
        <w:t>Sentença de homologação do Plano de Recuperação Judicial, da decisão homologatória do Plano de Recuperação Extrajudicial ou de outro documento judicial equivalente que ateste a homologação e a vigência do plano, certificando que a empresa está apta econômica e financeiramente a suportar o cumprimento de um futuro contrato com a Administração Pública, levando em consideração o objeto a ser contratado neste certame específico;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b) </w:t>
      </w:r>
      <w:r>
        <w:rPr>
          <w:rFonts w:eastAsia="Times New Roman" w:cs="Times New Roman" w:ascii="Times New Roman" w:hAnsi="Times New Roman"/>
          <w:color w:val="111111"/>
          <w:sz w:val="24"/>
          <w:szCs w:val="24"/>
        </w:rPr>
        <w:t>Certidão positiva de recuperação judicial ou extrajudicial, expedida pelo distribuidor da sede da licitante;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c) </w:t>
      </w:r>
      <w:r>
        <w:rPr>
          <w:rFonts w:eastAsia="Times New Roman" w:cs="Times New Roman" w:ascii="Times New Roman" w:hAnsi="Times New Roman"/>
          <w:color w:val="111111"/>
          <w:sz w:val="24"/>
          <w:szCs w:val="24"/>
        </w:rPr>
        <w:t>Todos os demais documentos referentes à habilitação previstos no edital.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2.16.1. </w:t>
      </w:r>
      <w:r>
        <w:rPr>
          <w:rFonts w:eastAsia="Times New Roman" w:cs="Times New Roman" w:ascii="Times New Roman" w:hAnsi="Times New Roman"/>
          <w:color w:val="111111"/>
          <w:sz w:val="24"/>
          <w:szCs w:val="24"/>
        </w:rPr>
        <w:t>A apresentação dos documentos elencados neste subitem é obrigatória, salvo existência expressa na referida ordem judicial.</w:t>
      </w:r>
    </w:p>
    <w:p>
      <w:pPr>
        <w:pStyle w:val="Heading1"/>
        <w:rPr>
          <w:color w:val="111111"/>
        </w:rPr>
      </w:pPr>
      <w:r>
        <w:rPr>
          <w:color w:val="111111"/>
        </w:rPr>
        <w:t>3. DA APRESENTAÇÃO DA PROPOSTA E DOS DOCUMENTOS DE HABILITAÇÃO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3.1. </w:t>
      </w:r>
      <w:r>
        <w:rPr>
          <w:rFonts w:eastAsia="Times New Roman" w:cs="Times New Roman" w:ascii="Times New Roman" w:hAnsi="Times New Roman"/>
          <w:color w:val="111111"/>
          <w:sz w:val="24"/>
          <w:szCs w:val="24"/>
        </w:rPr>
        <w:t>Na presente licitação, a fase de habilitação sucederá as fases de apresentação de propostas, lances e de julgamento.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3.2. </w:t>
      </w:r>
      <w:r>
        <w:rPr>
          <w:rFonts w:eastAsia="Times New Roman" w:cs="Times New Roman" w:ascii="Times New Roman" w:hAnsi="Times New Roman"/>
          <w:color w:val="111111"/>
          <w:sz w:val="24"/>
          <w:szCs w:val="24"/>
        </w:rPr>
        <w:t>As licitantes encaminharão, exclusivamente por meio do sistema eletrônico, a proposta com a descrição do objeto ofertado, o preço ou o percentual de desconto, conforme o critério de julgamento adotado, até a data e o horário estabelecidos no edital.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3.2.1. </w:t>
      </w:r>
      <w:r>
        <w:rPr>
          <w:rFonts w:eastAsia="Times New Roman" w:cs="Times New Roman" w:ascii="Times New Roman" w:hAnsi="Times New Roman"/>
          <w:color w:val="111111"/>
          <w:sz w:val="24"/>
          <w:szCs w:val="24"/>
        </w:rPr>
        <w:t xml:space="preserve">As propostas deverão ter prazo de validade não inferior a 60 (sessenta) dias a contar da data da abertura da licitação.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3.2.2. </w:t>
      </w:r>
      <w:r>
        <w:rPr>
          <w:rFonts w:eastAsia="Times New Roman" w:cs="Times New Roman" w:ascii="Times New Roman" w:hAnsi="Times New Roman"/>
          <w:color w:val="111111"/>
          <w:sz w:val="24"/>
          <w:szCs w:val="24"/>
        </w:rPr>
        <w:t xml:space="preserve">Em caso de omissão do prazo de validade na proposta, será considerado o prazo de 60 (sessenta) dias.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3.3.</w:t>
      </w:r>
      <w:r>
        <w:rPr>
          <w:rFonts w:eastAsia="Times New Roman" w:cs="Times New Roman" w:ascii="Times New Roman" w:hAnsi="Times New Roman"/>
          <w:color w:val="111111"/>
          <w:sz w:val="24"/>
          <w:szCs w:val="24"/>
        </w:rPr>
        <w:t xml:space="preserve"> No cadastramento da proposta inicial, a licitante declarará, em campo próprio do sistema, que: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3.3.1. </w:t>
      </w:r>
      <w:r>
        <w:rPr>
          <w:rFonts w:eastAsia="Times New Roman" w:cs="Times New Roman" w:ascii="Times New Roman" w:hAnsi="Times New Roman"/>
          <w:color w:val="111111"/>
          <w:sz w:val="24"/>
          <w:szCs w:val="24"/>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3.3.2.</w:t>
      </w:r>
      <w:r>
        <w:rPr>
          <w:rFonts w:eastAsia="Times New Roman" w:cs="Times New Roman" w:ascii="Times New Roman" w:hAnsi="Times New Roman"/>
          <w:color w:val="111111"/>
          <w:sz w:val="24"/>
          <w:szCs w:val="24"/>
        </w:rPr>
        <w:t xml:space="preserve"> Não emprega menor de 18 anos em trabalho noturno, perigoso ou insalubre e não emprega menor de 16 anos, salvo menor, a partir de 14 anos, na condição de aprendiz, conforme previsto no inciso VI do art. 68 da Lei Federal 14.133/2021 (inciso XXXIII do art. 7o da Constituição Federal);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3.3.3. </w:t>
      </w:r>
      <w:r>
        <w:rPr>
          <w:rFonts w:eastAsia="Times New Roman" w:cs="Times New Roman" w:ascii="Times New Roman" w:hAnsi="Times New Roman"/>
          <w:color w:val="111111"/>
          <w:sz w:val="24"/>
          <w:szCs w:val="24"/>
        </w:rPr>
        <w:t>Não possui empregados executando trabalho degradante ou forçado, observando o disposto nos incisos III e IV do art. 1º e no inciso III do art. 5º da Constituição Federal;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3.3.4.</w:t>
      </w:r>
      <w:r>
        <w:rPr>
          <w:rFonts w:eastAsia="Times New Roman" w:cs="Times New Roman" w:ascii="Times New Roman" w:hAnsi="Times New Roman"/>
          <w:color w:val="111111"/>
          <w:sz w:val="24"/>
          <w:szCs w:val="24"/>
        </w:rPr>
        <w:t xml:space="preserve"> Cumpre as exigências de reserva de cargos para pessoa com deficiência e para reabilitado da Previdência Social, previstas em lei e em outras normas específicas.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3.3.5. </w:t>
      </w:r>
      <w:r>
        <w:rPr>
          <w:rFonts w:eastAsia="Times New Roman" w:cs="Times New Roman" w:ascii="Times New Roman" w:hAnsi="Times New Roman"/>
          <w:color w:val="111111"/>
          <w:sz w:val="24"/>
          <w:szCs w:val="24"/>
        </w:rPr>
        <w:t>A licitante organizada em cooperativa deverá declarar, ainda, em campo próprio do sistema eletrônico, que cumpre os requisitos estabelecidos no artigo 16 da Lei Federal nº. 14.133/2021.</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3.3.6.</w:t>
      </w:r>
      <w:r>
        <w:rPr>
          <w:rFonts w:eastAsia="Times New Roman" w:cs="Times New Roman" w:ascii="Times New Roman" w:hAnsi="Times New Roman"/>
          <w:color w:val="111111"/>
          <w:sz w:val="24"/>
          <w:szCs w:val="24"/>
        </w:rPr>
        <w:t xml:space="preserve"> Assume o compromisso de guardar todos os documentos originais/autenticados, anexados eletronicamente pelo prazo de 10 (dez) anos, e apresentá-los quando requeridos pela Administração Pública;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3.3.7. </w:t>
      </w:r>
      <w:r>
        <w:rPr>
          <w:rFonts w:eastAsia="Times New Roman" w:cs="Times New Roman" w:ascii="Times New Roman" w:hAnsi="Times New Roman"/>
          <w:color w:val="111111"/>
          <w:sz w:val="24"/>
          <w:szCs w:val="24"/>
        </w:rPr>
        <w:t>Os documentos anexados eletronicamente ou apresentados para digitalização no ato da assinatura de ata de registro de preço, se for o caso, são fiéis aos originais e válidos para todos os efeitos legais, incorrendo nas sanções previstas na Lei Federal nº 14.133/21, conforme a legislação aplicável, em caso de declaração falsa, sem prejuízo da responsabilização civil e criminal;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3.3.8. </w:t>
      </w:r>
      <w:r>
        <w:rPr>
          <w:rFonts w:eastAsia="Times New Roman" w:cs="Times New Roman" w:ascii="Times New Roman" w:hAnsi="Times New Roman"/>
          <w:color w:val="111111"/>
          <w:sz w:val="24"/>
          <w:szCs w:val="24"/>
        </w:rPr>
        <w:t>A licitante tem conhecimento acerca das condutas passíveis de penalidades elencadas no Edital, de acordo com a modalidade, e aquelas previstas no art. 156 da Lei Federal nº 14.133/21, conforme legislação aplicável;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3.3.9.</w:t>
      </w:r>
      <w:r>
        <w:rPr>
          <w:rFonts w:eastAsia="Times New Roman" w:cs="Times New Roman" w:ascii="Times New Roman" w:hAnsi="Times New Roman"/>
          <w:color w:val="111111"/>
          <w:sz w:val="24"/>
          <w:szCs w:val="24"/>
        </w:rPr>
        <w:t xml:space="preserve"> Até a presente data inexistem fatos impeditivos à sua participação, salvo disposição extraordinária prevista em lei específica;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3.3.10.</w:t>
      </w:r>
      <w:r>
        <w:rPr>
          <w:rFonts w:eastAsia="Times New Roman" w:cs="Times New Roman" w:ascii="Times New Roman" w:hAnsi="Times New Roman"/>
          <w:color w:val="111111"/>
          <w:sz w:val="24"/>
          <w:szCs w:val="24"/>
        </w:rPr>
        <w:t xml:space="preserve"> Que sua proposta econômica compreende a integralidade dos custos para atendimento dos direitos trabalhistas assegurados na Constituição Federal, nas leis trabalhistas, nas normas infralegais, nas convenções coletivas de trabalho e nos termos de ajustamento de conduta vigentes.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3.4.</w:t>
      </w:r>
      <w:r>
        <w:rPr>
          <w:rFonts w:eastAsia="Times New Roman" w:cs="Times New Roman" w:ascii="Times New Roman" w:hAnsi="Times New Roman"/>
          <w:color w:val="111111"/>
          <w:sz w:val="24"/>
          <w:szCs w:val="24"/>
        </w:rPr>
        <w:t xml:space="preserve"> A licitante enquadrada como microempresa, empresa de pequeno porte ou equiparada deverá declarar, ainda, em campo próprio do sistema eletrônico, que cumpre os requisitos estabelecidos no artigo 3° da Lei Complementar n.º 123/2006, estando apto a usufruir do tratamento favorecido estabelecido em seus arts. 42 a 49, observado o disposto nos §§ 1º ao 3º do art. 4º, da Lei Federal nº. 14.133/2021.</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3.4.1. </w:t>
      </w:r>
      <w:r>
        <w:rPr>
          <w:rFonts w:eastAsia="Times New Roman" w:cs="Times New Roman" w:ascii="Times New Roman" w:hAnsi="Times New Roman"/>
          <w:color w:val="111111"/>
          <w:sz w:val="24"/>
          <w:szCs w:val="24"/>
        </w:rPr>
        <w:t>Nos itens exclusivos para participação de microempresas e empresas de pequeno porte, a assinalação do campo “não” impedirá o prosseguimento no certame, para aqueles itens;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3.4.2. </w:t>
      </w:r>
      <w:r>
        <w:rPr>
          <w:rFonts w:eastAsia="Times New Roman" w:cs="Times New Roman" w:ascii="Times New Roman" w:hAnsi="Times New Roman"/>
          <w:color w:val="111111"/>
          <w:sz w:val="24"/>
          <w:szCs w:val="24"/>
        </w:rPr>
        <w:t>Nos itens em que a participação não for exclusiva para microempresas e empresas de pequeno porte, ou, quando for o caso, para as equiparadas, a assinalação do campo “não” apenas produzirá o efeito de a licitante não ter direito ao tratamento favorecido previsto na Lei Complementar n.º 123/2006, mesmo que microempresa, empresa de pequeno porte, equiparada ou sociedade cooperativa.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3.4.3. </w:t>
      </w:r>
      <w:r>
        <w:rPr>
          <w:rFonts w:eastAsia="Times New Roman" w:cs="Times New Roman" w:ascii="Times New Roman" w:hAnsi="Times New Roman"/>
          <w:color w:val="111111"/>
          <w:sz w:val="24"/>
          <w:szCs w:val="24"/>
        </w:rPr>
        <w:t xml:space="preserve">Na hipótese de não haver vencedor para a cota reservada, esta poderá ser adjudicada ao vencedor da cota principal referente ao mesmo objeto, ou diante da recusa, aos licitantes remanescentes, desde que pratiquem o preço do primeiro colocado da cota principal.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3.4.4. </w:t>
      </w:r>
      <w:r>
        <w:rPr>
          <w:rFonts w:eastAsia="Times New Roman" w:cs="Times New Roman" w:ascii="Times New Roman" w:hAnsi="Times New Roman"/>
          <w:color w:val="111111"/>
          <w:sz w:val="24"/>
          <w:szCs w:val="24"/>
        </w:rPr>
        <w:t>Se a mesma licitante vencer a cota reservada e a cota principal, considerando o mesmo objeto, a contratação das cotas deverá ocorrer pelo menor preço ofertado.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3.5. </w:t>
      </w:r>
      <w:r>
        <w:rPr>
          <w:rFonts w:eastAsia="Times New Roman" w:cs="Times New Roman" w:ascii="Times New Roman" w:hAnsi="Times New Roman"/>
          <w:color w:val="111111"/>
          <w:sz w:val="24"/>
          <w:szCs w:val="24"/>
        </w:rPr>
        <w:t>A falsidade da declaração de que trata os itens 3.3 ou 3.4 sujeitará a licitante às sanções previstas na Lei Federal n.º 14.133/2021 e neste Edital e seus anexos, sem prejuízo quanto à eventual responsabilização criminal.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3.6.</w:t>
      </w:r>
      <w:r>
        <w:rPr>
          <w:rFonts w:eastAsia="Times New Roman" w:cs="Times New Roman" w:ascii="Times New Roman" w:hAnsi="Times New Roman"/>
          <w:color w:val="111111"/>
          <w:sz w:val="24"/>
          <w:szCs w:val="24"/>
        </w:rPr>
        <w:t xml:space="preserve"> As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3.7. </w:t>
      </w:r>
      <w:r>
        <w:rPr>
          <w:rFonts w:eastAsia="Times New Roman" w:cs="Times New Roman" w:ascii="Times New Roman" w:hAnsi="Times New Roman"/>
          <w:color w:val="111111"/>
          <w:sz w:val="24"/>
          <w:szCs w:val="24"/>
        </w:rPr>
        <w:t>Não haverá ordem de classificação na etapa de apresentação da proposta e dos documentos de habilitação pela licitante, o que ocorrerá somente após os procedimentos de abertura da sessão pública e da fase de envio de lances.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3.8.</w:t>
      </w:r>
      <w:r>
        <w:rPr>
          <w:rFonts w:eastAsia="Times New Roman" w:cs="Times New Roman" w:ascii="Times New Roman" w:hAnsi="Times New Roman"/>
          <w:color w:val="111111"/>
          <w:sz w:val="24"/>
          <w:szCs w:val="24"/>
        </w:rPr>
        <w:t xml:space="preserve"> Desde que disponibilizada a funcionalidade no sistema, a licitante poderá parametrizar o seu valor final mínimo ou o seu percentual de desconto máximo quando do cadastramento da proposta e obedecerá às seguintes regras: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3.8.1.</w:t>
      </w:r>
      <w:r>
        <w:rPr>
          <w:rFonts w:eastAsia="Times New Roman" w:cs="Times New Roman" w:ascii="Times New Roman" w:hAnsi="Times New Roman"/>
          <w:color w:val="111111"/>
          <w:sz w:val="24"/>
          <w:szCs w:val="24"/>
        </w:rPr>
        <w:t xml:space="preserve"> A aplicação do intervalo mínimo de diferença de valores ou de percentuais entre os lances, que incidirá tanto em relação aos lances intermediários quanto em relação ao lance que cobrir a melhor oferta; 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3.8.2.</w:t>
      </w:r>
      <w:r>
        <w:rPr>
          <w:rFonts w:eastAsia="Times New Roman" w:cs="Times New Roman" w:ascii="Times New Roman" w:hAnsi="Times New Roman"/>
          <w:color w:val="111111"/>
          <w:sz w:val="24"/>
          <w:szCs w:val="24"/>
        </w:rPr>
        <w:t xml:space="preserve"> Os lances serão de envio automático pelo sistema, respeitado o valor final mínimo estabelecido e o intervalo de que trata o subitem acima.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3.9. </w:t>
      </w:r>
      <w:r>
        <w:rPr>
          <w:rFonts w:eastAsia="Times New Roman" w:cs="Times New Roman" w:ascii="Times New Roman" w:hAnsi="Times New Roman"/>
          <w:color w:val="111111"/>
          <w:sz w:val="24"/>
          <w:szCs w:val="24"/>
        </w:rPr>
        <w:t>O valor final mínimo ou o percentual de desconto final máximo parametrizado no sistema poderá ser alterado pela licitante durante a fase de disputa, sendo vedado: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3.9.1. </w:t>
      </w:r>
      <w:r>
        <w:rPr>
          <w:rFonts w:eastAsia="Times New Roman" w:cs="Times New Roman" w:ascii="Times New Roman" w:hAnsi="Times New Roman"/>
          <w:color w:val="111111"/>
          <w:sz w:val="24"/>
          <w:szCs w:val="24"/>
        </w:rPr>
        <w:t>Valor superior a lance já registrado pela licitante no sistema, quando adotado o critério de julgamento por menor preço; 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3.9.2. </w:t>
      </w:r>
      <w:r>
        <w:rPr>
          <w:rFonts w:eastAsia="Times New Roman" w:cs="Times New Roman" w:ascii="Times New Roman" w:hAnsi="Times New Roman"/>
          <w:color w:val="111111"/>
          <w:sz w:val="24"/>
          <w:szCs w:val="24"/>
        </w:rPr>
        <w:t xml:space="preserve"> Percentual de desconto inferior ao lance já registrado pela licitante no sistema, quando adotado o critério de julgamento por maior desconto.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3.10. </w:t>
      </w:r>
      <w:r>
        <w:rPr>
          <w:rFonts w:eastAsia="Times New Roman" w:cs="Times New Roman" w:ascii="Times New Roman" w:hAnsi="Times New Roman"/>
          <w:color w:val="111111"/>
          <w:sz w:val="24"/>
          <w:szCs w:val="24"/>
        </w:rPr>
        <w:t>O valor final mínimo ou o percentual de desconto final máximo parametrizado na forma do subitem 3.9 possuirá caráter sigiloso para as demais licitantes e para o órgão ou entidade promotora da licitação, podendo ser disponibilizado estritamente e permanentemente aos órgãos de controle externo e interno.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3.11. </w:t>
      </w:r>
      <w:r>
        <w:rPr>
          <w:rFonts w:eastAsia="Times New Roman" w:cs="Times New Roman" w:ascii="Times New Roman" w:hAnsi="Times New Roman"/>
          <w:color w:val="111111"/>
          <w:sz w:val="24"/>
          <w:szCs w:val="24"/>
        </w:rPr>
        <w:t>Caberá à licitante interessada em participar da licitação acompanhar as operações no sistema eletrônico durante o processo licitatório e se responsabilizar pelo ônus decorrente da perda de negócios diante da inobservância de mensagens emitidas pela Administração ou de sua desconexão.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3.12. </w:t>
      </w:r>
      <w:r>
        <w:rPr>
          <w:rFonts w:eastAsia="Times New Roman" w:cs="Times New Roman" w:ascii="Times New Roman" w:hAnsi="Times New Roman"/>
          <w:color w:val="111111"/>
          <w:sz w:val="24"/>
          <w:szCs w:val="24"/>
        </w:rPr>
        <w:t xml:space="preserve">A licitante deverá comunicar imediatamente ao provedor do sistema qualquer acontecimento que possa comprometer o sigilo ou a segurança, para imediato bloqueio de acesso.              </w:t>
      </w:r>
    </w:p>
    <w:p>
      <w:pPr>
        <w:pStyle w:val="Heading1"/>
        <w:rPr>
          <w:color w:val="111111"/>
        </w:rPr>
      </w:pPr>
      <w:r>
        <w:rPr>
          <w:color w:val="111111"/>
        </w:rPr>
        <w:t>4. DA ABERTURA DA SESSÃO, CRITÉRIOS DE CLASSIFICAÇÃO, FORMULAÇÃO DE LANCES E DESEMPATE DAS PROPOSTAS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4.1. </w:t>
      </w:r>
      <w:r>
        <w:rPr>
          <w:rFonts w:eastAsia="Times New Roman" w:cs="Times New Roman" w:ascii="Times New Roman" w:hAnsi="Times New Roman"/>
          <w:color w:val="111111"/>
          <w:sz w:val="24"/>
          <w:szCs w:val="24"/>
        </w:rPr>
        <w:t>A abertura da presente licitação dar-se-á em sessão pública, por meio de sistema eletrônico, na data, horário e local indicados neste Edital.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4.2. </w:t>
      </w:r>
      <w:r>
        <w:rPr>
          <w:rFonts w:eastAsia="Times New Roman" w:cs="Times New Roman" w:ascii="Times New Roman" w:hAnsi="Times New Roman"/>
          <w:color w:val="111111"/>
          <w:sz w:val="24"/>
          <w:szCs w:val="24"/>
        </w:rPr>
        <w:t xml:space="preserve">Os licitantes poderão retirar ou substituir a proposta ou os documentos de habilitação, quando for o caso, anteriormente inseridos no sistema, até o prazo previsto em edital para recebimento das propostas.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4.3.</w:t>
      </w:r>
      <w:r>
        <w:rPr>
          <w:rFonts w:eastAsia="Times New Roman" w:cs="Times New Roman" w:ascii="Times New Roman" w:hAnsi="Times New Roman"/>
          <w:color w:val="111111"/>
          <w:sz w:val="24"/>
          <w:szCs w:val="24"/>
        </w:rPr>
        <w:t xml:space="preserve"> O Pregoeiro verificará as propostas apresentadas e desclassificará, motivadamente, aquelas que não estejam em conformidade com os requisitos estabelecidos neste edital. A desclassificação da proposta será sempre fundamentada e registrada no sistema, com acompanhamento em tempo real pelos licitantes.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4.3.1. </w:t>
      </w:r>
      <w:r>
        <w:rPr>
          <w:rFonts w:eastAsia="Times New Roman" w:cs="Times New Roman" w:ascii="Times New Roman" w:hAnsi="Times New Roman"/>
          <w:color w:val="111111"/>
          <w:sz w:val="24"/>
          <w:szCs w:val="24"/>
        </w:rPr>
        <w:t xml:space="preserve">O sistema ordenará, automaticamente, as propostas classificadas pelo Pregoeiro. Somente os licitantes com propostas classificadas participarão da fase de lances.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4.4. </w:t>
      </w:r>
      <w:r>
        <w:rPr>
          <w:rFonts w:eastAsia="Times New Roman" w:cs="Times New Roman" w:ascii="Times New Roman" w:hAnsi="Times New Roman"/>
          <w:color w:val="111111"/>
          <w:sz w:val="24"/>
          <w:szCs w:val="24"/>
        </w:rPr>
        <w:t>O sistema disponibilizará campo próprio para troca de mensagens entre o Pregoeiro e as licitantes, sendo que a comunicação ocorrerá exclusivamente pelo sistema eletrônico.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4.5.</w:t>
      </w:r>
      <w:r>
        <w:rPr>
          <w:rFonts w:eastAsia="Times New Roman" w:cs="Times New Roman" w:ascii="Times New Roman" w:hAnsi="Times New Roman"/>
          <w:color w:val="111111"/>
          <w:sz w:val="24"/>
          <w:szCs w:val="24"/>
        </w:rPr>
        <w:t xml:space="preserve"> Iniciada a etapa competitiva, as licitantes deverão encaminhar lances exclusivamente por meio do sistema eletrônico, sendo imediatamente informadas do seu recebimento e do valor consignado no registro.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4.6.</w:t>
      </w:r>
      <w:r>
        <w:rPr>
          <w:rFonts w:eastAsia="Times New Roman" w:cs="Times New Roman" w:ascii="Times New Roman" w:hAnsi="Times New Roman"/>
          <w:color w:val="111111"/>
          <w:sz w:val="24"/>
          <w:szCs w:val="24"/>
        </w:rPr>
        <w:t xml:space="preserve"> O lance deverá ser ofertado considerando o critério de julgamento definido no presente Edital.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4.7.</w:t>
      </w:r>
      <w:r>
        <w:rPr>
          <w:rFonts w:eastAsia="Times New Roman" w:cs="Times New Roman" w:ascii="Times New Roman" w:hAnsi="Times New Roman"/>
          <w:color w:val="111111"/>
          <w:sz w:val="24"/>
          <w:szCs w:val="24"/>
        </w:rPr>
        <w:t xml:space="preserve"> As licitantes poderão oferecer lances sucessivos, observando o horário fixado para abertura da sessão e as regras estabelecidas no Edital.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4.8. </w:t>
      </w:r>
      <w:r>
        <w:rPr>
          <w:rFonts w:eastAsia="Times New Roman" w:cs="Times New Roman" w:ascii="Times New Roman" w:hAnsi="Times New Roman"/>
          <w:color w:val="111111"/>
          <w:sz w:val="24"/>
          <w:szCs w:val="24"/>
        </w:rPr>
        <w:t>A licitante somente poderá oferecer lance de valor inferior ou percentual de desconto superior, conforme o critério de julgamento definido no presente Edital, ao último por ela ofertado e registrado pelo sistema, observado o intervalo mínimo de diferença de valores ou de percentuais entre os lances, que incidirá tanto em relação aos lances intermediários quanto em relação ao lance que cobrir a melhor oferta.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4.9</w:t>
      </w:r>
      <w:r>
        <w:rPr>
          <w:rFonts w:eastAsia="Times New Roman" w:cs="Times New Roman" w:ascii="Times New Roman" w:hAnsi="Times New Roman"/>
          <w:color w:val="111111"/>
          <w:sz w:val="24"/>
          <w:szCs w:val="24"/>
        </w:rPr>
        <w:t>. Excepcionalmente, o pregoeiro poderá, durante a disputa, excluir a proposta ou o lance que possa comprometer, restringir ou frustrar o caráter competitivo do processo licitatório, mediante comunicação eletrônica automática via sistema.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4.9.1.</w:t>
      </w:r>
      <w:r>
        <w:rPr>
          <w:rFonts w:eastAsia="Times New Roman" w:cs="Times New Roman" w:ascii="Times New Roman" w:hAnsi="Times New Roman"/>
          <w:color w:val="111111"/>
          <w:sz w:val="24"/>
          <w:szCs w:val="24"/>
        </w:rPr>
        <w:t xml:space="preserve"> Eventual exclusão de proposta do licitante implica a retirada do licitante do certame, sem prejuízo do direito de defesa.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4.10.</w:t>
      </w:r>
      <w:r>
        <w:rPr>
          <w:rFonts w:eastAsia="Times New Roman" w:cs="Times New Roman" w:ascii="Times New Roman" w:hAnsi="Times New Roman"/>
          <w:color w:val="111111"/>
          <w:sz w:val="24"/>
          <w:szCs w:val="24"/>
        </w:rPr>
        <w:t xml:space="preserve"> O procedimento seguirá o modo de disputa “aberto”.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4.11.</w:t>
      </w:r>
      <w:r>
        <w:rPr>
          <w:rFonts w:eastAsia="Times New Roman" w:cs="Times New Roman" w:ascii="Times New Roman" w:hAnsi="Times New Roman"/>
          <w:color w:val="111111"/>
          <w:sz w:val="24"/>
          <w:szCs w:val="24"/>
        </w:rPr>
        <w:t xml:space="preserve"> Para o envio de lances no pregão eletrônico no modo de disputa “aberto”, os licitantes apresentarão lances públicos e sucessivos, com prorrogações.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4.12. </w:t>
      </w:r>
      <w:r>
        <w:rPr>
          <w:rFonts w:eastAsia="Times New Roman" w:cs="Times New Roman" w:ascii="Times New Roman" w:hAnsi="Times New Roman"/>
          <w:color w:val="111111"/>
          <w:sz w:val="24"/>
          <w:szCs w:val="24"/>
        </w:rPr>
        <w:t>Não serão aceitos dois ou mais lances de mesmo valor, prevalecendo aquele que for recebido e registrado em primeiro lugar.</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4.12.1. </w:t>
      </w:r>
      <w:r>
        <w:rPr>
          <w:rFonts w:eastAsia="Times New Roman" w:cs="Times New Roman" w:ascii="Times New Roman" w:hAnsi="Times New Roman"/>
          <w:color w:val="111111"/>
          <w:sz w:val="24"/>
          <w:szCs w:val="24"/>
        </w:rPr>
        <w:t>A etapa de lances da sessão pública terá duração de 10 (dez) minutos e, após isso, será prorrogada automaticamente pelo sistema quando houver lance ofertado nos últimos 2 (dois) minutos do período de duração da sessão pública.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4.12.2.</w:t>
      </w:r>
      <w:r>
        <w:rPr>
          <w:rFonts w:eastAsia="Times New Roman" w:cs="Times New Roman" w:ascii="Times New Roman" w:hAnsi="Times New Roman"/>
          <w:color w:val="111111"/>
          <w:sz w:val="24"/>
          <w:szCs w:val="24"/>
        </w:rPr>
        <w:t xml:space="preserve"> A prorrogação automática da etapa de lances, de que trata o subitem anterior, será de 2 (dois) minutos e ocorrerá sucessivamente sempre que houver lances enviados neste período de prorrogação, inclusive no caso de lances intermediários.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4.12.3.</w:t>
      </w:r>
      <w:r>
        <w:rPr>
          <w:rFonts w:eastAsia="Times New Roman" w:cs="Times New Roman" w:ascii="Times New Roman" w:hAnsi="Times New Roman"/>
          <w:color w:val="111111"/>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4.12.4. </w:t>
      </w:r>
      <w:r>
        <w:rPr>
          <w:rFonts w:eastAsia="Times New Roman" w:cs="Times New Roman" w:ascii="Times New Roman" w:hAnsi="Times New Roman"/>
          <w:color w:val="111111"/>
          <w:sz w:val="24"/>
          <w:szCs w:val="24"/>
        </w:rPr>
        <w:t xml:space="preserve">Não havendo novos lances na forma estabelecida nos subitens anteriores, a sessão pública encerrar-se-á automaticamente, e o sistema ordenará e divulgará os lances conforme a ordem final de classificação.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4.13. </w:t>
      </w:r>
      <w:r>
        <w:rPr>
          <w:rFonts w:eastAsia="Times New Roman" w:cs="Times New Roman" w:ascii="Times New Roman" w:hAnsi="Times New Roman"/>
          <w:color w:val="111111"/>
          <w:sz w:val="24"/>
          <w:szCs w:val="24"/>
        </w:rPr>
        <w:t>Durante o transcurso da sessão pública, as licitantes serão informadas, em tempo real, do valor do menor lance registrado, vedada a identificação da licitante.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4.14. </w:t>
      </w:r>
      <w:r>
        <w:rPr>
          <w:rFonts w:eastAsia="Times New Roman" w:cs="Times New Roman" w:ascii="Times New Roman" w:hAnsi="Times New Roman"/>
          <w:color w:val="111111"/>
          <w:sz w:val="24"/>
          <w:szCs w:val="24"/>
        </w:rPr>
        <w:t>No caso de desconexão com o Pregoeiro, no decorrer da etapa competitiva do Pregão, o sistema eletrônico poderá permanecer acessível às licitantes para a recepção dos lances.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4.15. </w:t>
      </w:r>
      <w:r>
        <w:rPr>
          <w:rFonts w:eastAsia="Times New Roman" w:cs="Times New Roman" w:ascii="Times New Roman" w:hAnsi="Times New Roman"/>
          <w:color w:val="111111"/>
          <w:sz w:val="24"/>
          <w:szCs w:val="24"/>
        </w:rPr>
        <w:t>Quando a desconexão do sistema eletrônico para o pregoeiro persistir por tempo superior a 10 (dez) minutos, a sessão pública será suspensa e reiniciada somente após decorridas 24 (vinte e quatro) horas da comunicação do fato pelo Pregoeiro às participantes, no sítio eletrônico utilizado para divulgação.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4.16. </w:t>
      </w:r>
      <w:r>
        <w:rPr>
          <w:rFonts w:eastAsia="Times New Roman" w:cs="Times New Roman" w:ascii="Times New Roman" w:hAnsi="Times New Roman"/>
          <w:color w:val="111111"/>
          <w:sz w:val="24"/>
          <w:szCs w:val="24"/>
        </w:rPr>
        <w:t>Caso o licitante não apresente lances, concorrerá com o valor de sua proposta.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4.17.</w:t>
      </w:r>
      <w:r>
        <w:rPr>
          <w:rFonts w:eastAsia="Times New Roman" w:cs="Times New Roman" w:ascii="Times New Roman" w:hAnsi="Times New Roman"/>
          <w:color w:val="111111"/>
          <w:sz w:val="24"/>
          <w:szCs w:val="24"/>
        </w:rPr>
        <w:t xml:space="preserve"> Não poderá haver desistência dos lances ofertados após a abertura da sessão, sujeitando-se os licitantes desistentes às sanções previstas neste edital, salvo as decorrentes de caso fortuito ou imprevisível com a devida justificativa aceita pelo Pregoeiro.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4.18.</w:t>
      </w:r>
      <w:r>
        <w:rPr>
          <w:rFonts w:eastAsia="Times New Roman" w:cs="Times New Roman" w:ascii="Times New Roman" w:hAnsi="Times New Roman"/>
          <w:color w:val="111111"/>
          <w:sz w:val="24"/>
          <w:szCs w:val="24"/>
        </w:rPr>
        <w:t xml:space="preserve"> Durante a fase de lances, o Pregoeiro poderá excluir, justificadamente, lance cujo valor seja manifestamente inexequível.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4.19.</w:t>
      </w:r>
      <w:r>
        <w:rPr>
          <w:rFonts w:eastAsia="Times New Roman" w:cs="Times New Roman" w:ascii="Times New Roman" w:hAnsi="Times New Roman"/>
          <w:color w:val="111111"/>
          <w:sz w:val="24"/>
          <w:szCs w:val="24"/>
        </w:rPr>
        <w:t xml:space="preserve"> Em relação a itens não exclusivos para participação das beneficiárias da Lei Complementar n°. 123/2006, uma vez encerrada a etapa de lances, o sistema identificará as beneficiárias da Lei Complementar n°. 123/2006 participantes, procedendo à comparação com os valores da primeira colocada, se esta for empresa de maior porte, assim como das demais classificadas, para o fim de aplicar-se o disposto nos arts. 44 e 45 da Lei Complementar n.º 123/2006.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4.19.1. </w:t>
      </w:r>
      <w:r>
        <w:rPr>
          <w:rFonts w:eastAsia="Times New Roman" w:cs="Times New Roman" w:ascii="Times New Roman" w:hAnsi="Times New Roman"/>
          <w:color w:val="111111"/>
          <w:sz w:val="24"/>
          <w:szCs w:val="24"/>
        </w:rPr>
        <w:t>Nessas condições, as propostas das beneficiárias da Lei Complementar n°. 123/2006 que se encontrarem na faixa de até 5% (cinco por cento) acima da melhor proposta ou melhor lance serão consideradas empatadas com a primeira colocada.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4.20.</w:t>
      </w:r>
      <w:r>
        <w:rPr>
          <w:rFonts w:eastAsia="Times New Roman" w:cs="Times New Roman" w:ascii="Times New Roman" w:hAnsi="Times New Roman"/>
          <w:color w:val="111111"/>
          <w:sz w:val="24"/>
          <w:szCs w:val="24"/>
        </w:rPr>
        <w:t xml:space="preserve">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4.21.</w:t>
      </w:r>
      <w:r>
        <w:rPr>
          <w:rFonts w:eastAsia="Times New Roman" w:cs="Times New Roman" w:ascii="Times New Roman" w:hAnsi="Times New Roman"/>
          <w:color w:val="111111"/>
          <w:sz w:val="24"/>
          <w:szCs w:val="24"/>
        </w:rPr>
        <w:t xml:space="preserve"> Caso a beneficiária da Lei Complementar n°. 123/2006 melhor classificada desista ou não se manifeste no prazo estabelecido, serão convocadas as demais microempresa e empresa de pequeno porte que se encontrem naquele intervalo de 5% (cinco por cento), na ordem de classificação, para o exercício do mesmo direito, no prazo estabelecido no subitem anterior.</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4.22. </w:t>
      </w:r>
      <w:r>
        <w:rPr>
          <w:rFonts w:eastAsia="Times New Roman" w:cs="Times New Roman" w:ascii="Times New Roman" w:hAnsi="Times New Roman"/>
          <w:color w:val="111111"/>
          <w:sz w:val="24"/>
          <w:szCs w:val="24"/>
        </w:rPr>
        <w:t>Havendo eventual empate entre propostas ou lances, o critério de desempate será aquele previsto no art. 60 da Lei Federal n.º 14.133/2021, nesta ordem:</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a)</w:t>
      </w:r>
      <w:r>
        <w:rPr>
          <w:rFonts w:eastAsia="Times New Roman" w:cs="Times New Roman" w:ascii="Times New Roman" w:hAnsi="Times New Roman"/>
          <w:color w:val="111111"/>
          <w:sz w:val="24"/>
          <w:szCs w:val="24"/>
        </w:rPr>
        <w:t xml:space="preserve"> disputa final, hipótese em que as licitantes empatadas poderão apresentar nova proposta em ato contínuo à classificação;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b)</w:t>
      </w:r>
      <w:r>
        <w:rPr>
          <w:rFonts w:eastAsia="Times New Roman" w:cs="Times New Roman" w:ascii="Times New Roman" w:hAnsi="Times New Roman"/>
          <w:color w:val="111111"/>
          <w:sz w:val="24"/>
          <w:szCs w:val="24"/>
        </w:rPr>
        <w:t xml:space="preserve"> avaliação do desempenho contratual prévio das licitantes, para a qual deverão preferencialmente ser utilizados registros cadastrais para efeito de ateste de cumprimento de obrigações previstos na referida Lei;</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c) </w:t>
      </w:r>
      <w:r>
        <w:rPr>
          <w:rFonts w:eastAsia="Times New Roman" w:cs="Times New Roman" w:ascii="Times New Roman" w:hAnsi="Times New Roman"/>
          <w:color w:val="111111"/>
          <w:sz w:val="24"/>
          <w:szCs w:val="24"/>
        </w:rPr>
        <w:t>desenvolvimento pela licitante de ações de equidade entre homens e mulheres no ambiente de trabalho, conforme regulamento;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d)</w:t>
      </w:r>
      <w:r>
        <w:rPr>
          <w:rFonts w:eastAsia="Times New Roman" w:cs="Times New Roman" w:ascii="Times New Roman" w:hAnsi="Times New Roman"/>
          <w:color w:val="111111"/>
          <w:sz w:val="24"/>
          <w:szCs w:val="24"/>
        </w:rPr>
        <w:t xml:space="preserve"> desenvolvimento pela licitante de programa de integridade, conforme orientações dos órgãos de controle.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4.23.</w:t>
      </w:r>
      <w:r>
        <w:rPr>
          <w:rFonts w:eastAsia="Times New Roman" w:cs="Times New Roman" w:ascii="Times New Roman" w:hAnsi="Times New Roman"/>
          <w:color w:val="111111"/>
          <w:sz w:val="24"/>
          <w:szCs w:val="24"/>
        </w:rPr>
        <w:t xml:space="preserve"> Persistindo o empate, será assegurada preferência, sucessivamente, aos bens e serviços produzidos ou prestados por:</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a)</w:t>
      </w:r>
      <w:r>
        <w:rPr>
          <w:rFonts w:eastAsia="Times New Roman" w:cs="Times New Roman" w:ascii="Times New Roman" w:hAnsi="Times New Roman"/>
          <w:color w:val="111111"/>
          <w:sz w:val="24"/>
          <w:szCs w:val="24"/>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b)</w:t>
      </w:r>
      <w:r>
        <w:rPr>
          <w:rFonts w:eastAsia="Times New Roman" w:cs="Times New Roman" w:ascii="Times New Roman" w:hAnsi="Times New Roman"/>
          <w:color w:val="111111"/>
          <w:sz w:val="24"/>
          <w:szCs w:val="24"/>
        </w:rPr>
        <w:t xml:space="preserve"> empresas brasileiras;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c) </w:t>
      </w:r>
      <w:r>
        <w:rPr>
          <w:rFonts w:eastAsia="Times New Roman" w:cs="Times New Roman" w:ascii="Times New Roman" w:hAnsi="Times New Roman"/>
          <w:color w:val="111111"/>
          <w:sz w:val="24"/>
          <w:szCs w:val="24"/>
        </w:rPr>
        <w:t>por empresas que invistam em pesquisa e no desenvolvimento de tecnologia no País;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d)</w:t>
      </w:r>
      <w:r>
        <w:rPr>
          <w:rFonts w:eastAsia="Times New Roman" w:cs="Times New Roman" w:ascii="Times New Roman" w:hAnsi="Times New Roman"/>
          <w:color w:val="111111"/>
          <w:sz w:val="24"/>
          <w:szCs w:val="24"/>
        </w:rPr>
        <w:t xml:space="preserve"> empresas que comprovem a prática de mitigação, nos termos da Lei Federal nº. 12.187, de 29 de dezembro de 2009.</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4.24. </w:t>
      </w:r>
      <w:r>
        <w:rPr>
          <w:rFonts w:eastAsia="Times New Roman" w:cs="Times New Roman" w:ascii="Times New Roman" w:hAnsi="Times New Roman"/>
          <w:color w:val="111111"/>
          <w:sz w:val="24"/>
          <w:szCs w:val="24"/>
        </w:rPr>
        <w:t>Encerrada a etapa de envio de lances da sessão pública, na hipótese da proposta da primeira colocada permanecer acima do preço máximo ou inferior ao desconto definido para a contratação, o pregoeiro poderá negociar condições mais vantajosas, após definido o resultado do julgamento.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4.25. </w:t>
      </w:r>
      <w:r>
        <w:rPr>
          <w:rFonts w:eastAsia="Times New Roman" w:cs="Times New Roman" w:ascii="Times New Roman" w:hAnsi="Times New Roman"/>
          <w:color w:val="111111"/>
          <w:sz w:val="24"/>
          <w:szCs w:val="24"/>
        </w:rPr>
        <w:t>A negociação poderá ser feita com as demais licitantes, segundo a ordem de classificação inicialmente estabelecida, quando a primeira colocada, mesmo após a negociação, for desclassificada em razão de sua proposta permanecer acima do preço máximo definido pela Administração.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4.26.</w:t>
      </w:r>
      <w:r>
        <w:rPr>
          <w:rFonts w:eastAsia="Times New Roman" w:cs="Times New Roman" w:ascii="Times New Roman" w:hAnsi="Times New Roman"/>
          <w:color w:val="111111"/>
          <w:sz w:val="24"/>
          <w:szCs w:val="24"/>
        </w:rPr>
        <w:t xml:space="preserve"> A negociação será realizada por meio do sistema, podendo ser acompanhada pelas demais licitantes.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4.27.</w:t>
      </w:r>
      <w:r>
        <w:rPr>
          <w:rFonts w:eastAsia="Times New Roman" w:cs="Times New Roman" w:ascii="Times New Roman" w:hAnsi="Times New Roman"/>
          <w:color w:val="111111"/>
          <w:sz w:val="24"/>
          <w:szCs w:val="24"/>
        </w:rPr>
        <w:t xml:space="preserve"> O resultado da negociação será divulgado a todas as licitantes e anexado aos autos do processo licitatório.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4.28. </w:t>
      </w:r>
      <w:r>
        <w:rPr>
          <w:rFonts w:eastAsia="Times New Roman" w:cs="Times New Roman" w:ascii="Times New Roman" w:hAnsi="Times New Roman"/>
          <w:color w:val="111111"/>
          <w:sz w:val="24"/>
          <w:szCs w:val="24"/>
        </w:rPr>
        <w:t>O Pregoeiro solicitará à licitante mais bem classificada que, no prazo de 2 (duas) horas, envie a proposta adequada ao último lance ofertado após a negociação realizada, acompanhada, se for o caso, dos documentos complementares, quando necessários à confirmação daqueles exigidos no Edital, Termo de Referência e já apresentados.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4.29. </w:t>
      </w:r>
      <w:r>
        <w:rPr>
          <w:rFonts w:eastAsia="Times New Roman" w:cs="Times New Roman" w:ascii="Times New Roman" w:hAnsi="Times New Roman"/>
          <w:color w:val="111111"/>
          <w:sz w:val="24"/>
          <w:szCs w:val="24"/>
        </w:rPr>
        <w:t>É facultado ao Pregoeiro prorrogar o prazo estabelecido, a partir de solicitação fundamentada feita no chat pela licitante, antes de findo o prazo.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4.30. </w:t>
      </w:r>
      <w:r>
        <w:rPr>
          <w:rFonts w:eastAsia="Times New Roman" w:cs="Times New Roman" w:ascii="Times New Roman" w:hAnsi="Times New Roman"/>
          <w:color w:val="111111"/>
          <w:sz w:val="24"/>
          <w:szCs w:val="24"/>
        </w:rPr>
        <w:t>Após a negociação do preço, o Pregoeiro iniciará a fase de aceitação e julgamento da proposta.</w:t>
      </w:r>
    </w:p>
    <w:p>
      <w:pPr>
        <w:pStyle w:val="Heading1"/>
        <w:rPr>
          <w:color w:val="111111"/>
        </w:rPr>
      </w:pPr>
      <w:r>
        <w:rPr>
          <w:color w:val="111111"/>
        </w:rPr>
        <w:t>5. DA FASE DE JULGAMENTO DA PROPOSTA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5.1.</w:t>
      </w:r>
      <w:r>
        <w:rPr>
          <w:rFonts w:eastAsia="Times New Roman" w:cs="Times New Roman" w:ascii="Times New Roman" w:hAnsi="Times New Roman"/>
          <w:color w:val="111111"/>
          <w:sz w:val="24"/>
          <w:szCs w:val="24"/>
        </w:rPr>
        <w:t xml:space="preserve"> Na hipótese de inversão das fases de habilitação e julgamento, caso atendidas as condições de participação, será iniciado o procedimento de habilitação.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5.2.</w:t>
      </w:r>
      <w:r>
        <w:rPr>
          <w:rFonts w:eastAsia="Times New Roman" w:cs="Times New Roman" w:ascii="Times New Roman" w:hAnsi="Times New Roman"/>
          <w:color w:val="111111"/>
          <w:sz w:val="24"/>
          <w:szCs w:val="24"/>
        </w:rPr>
        <w:t xml:space="preserve"> Caso a licitante provisoriamente classificada em primeiro lugar tenha se utilizado de algum tratamento favorecido às beneficiárias da Lei Complementar nº. 123/2006, o pregoeiro verificará se faz jus ao benefício, em conformidade com os subitens 2.6.1 e 3.4 deste edital.</w:t>
      </w:r>
    </w:p>
    <w:p>
      <w:pPr>
        <w:pStyle w:val="Normal"/>
        <w:keepLines w:val="false"/>
        <w:widowControl/>
        <w:spacing w:before="288" w:after="288"/>
        <w:jc w:val="both"/>
        <w:rPr/>
      </w:pPr>
      <w:r>
        <w:rPr>
          <w:rFonts w:eastAsia="Times New Roman" w:cs="Times New Roman" w:ascii="Times New Roman" w:hAnsi="Times New Roman"/>
          <w:b/>
          <w:bCs/>
          <w:color w:val="111111"/>
          <w:sz w:val="24"/>
          <w:szCs w:val="24"/>
        </w:rPr>
        <w:t xml:space="preserve">5.3. </w:t>
      </w:r>
      <w:r>
        <w:rPr>
          <w:rFonts w:eastAsia="Times New Roman" w:cs="Times New Roman" w:ascii="Times New Roman" w:hAnsi="Times New Roman"/>
          <w:color w:val="111111"/>
          <w:sz w:val="24"/>
          <w:szCs w:val="24"/>
        </w:rPr>
        <w:t>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w:t>
      </w:r>
      <w:r>
        <w:fldChar w:fldCharType="begin"/>
      </w:r>
      <w:r>
        <w:rPr>
          <w:rStyle w:val="Style3"/>
          <w:rFonts w:eastAsia="Times New Roman" w:cs="Times New Roman" w:ascii="Times New Roman" w:hAnsi="Times New Roman"/>
          <w:color w:val="111111"/>
          <w:sz w:val="24"/>
          <w:szCs w:val="24"/>
        </w:rPr>
        <w:instrText xml:space="preserve"> HYPERLINK "https://www.gov.br/compras/pt-br/acesso-a-informacao/legislacao/instrucoes-normativas/instrucao-normativa-seges-me-no-73-de-30-de-setembro-de-2022" \l "art29"</w:instrText>
      </w:r>
      <w:r>
        <w:rPr>
          <w:rStyle w:val="Style3"/>
          <w:rFonts w:eastAsia="Times New Roman" w:cs="Times New Roman" w:ascii="Times New Roman" w:hAnsi="Times New Roman"/>
          <w:color w:val="111111"/>
          <w:sz w:val="24"/>
          <w:szCs w:val="24"/>
        </w:rPr>
        <w:fldChar w:fldCharType="separate"/>
      </w:r>
      <w:r>
        <w:rPr>
          <w:rStyle w:val="Style3"/>
          <w:rFonts w:eastAsia="Times New Roman" w:cs="Times New Roman" w:ascii="Times New Roman" w:hAnsi="Times New Roman"/>
          <w:color w:val="111111"/>
          <w:sz w:val="24"/>
          <w:szCs w:val="24"/>
        </w:rPr>
        <w:t xml:space="preserve"> </w:t>
      </w:r>
      <w:r>
        <w:rPr>
          <w:rStyle w:val="Style3"/>
          <w:rFonts w:eastAsia="Times New Roman" w:cs="Times New Roman" w:ascii="Times New Roman" w:hAnsi="Times New Roman"/>
          <w:color w:val="111111"/>
          <w:sz w:val="24"/>
          <w:szCs w:val="24"/>
        </w:rPr>
        <w:fldChar w:fldCharType="end"/>
      </w:r>
      <w:r>
        <w:fldChar w:fldCharType="begin"/>
      </w:r>
      <w:r>
        <w:rPr>
          <w:rStyle w:val="Style3"/>
          <w:rFonts w:eastAsia="Times New Roman" w:cs="Times New Roman" w:ascii="Times New Roman" w:hAnsi="Times New Roman"/>
          <w:color w:val="111111"/>
          <w:sz w:val="24"/>
          <w:szCs w:val="24"/>
          <w:u w:val="single"/>
        </w:rPr>
        <w:instrText xml:space="preserve"> HYPERLINK "https://www.gov.br/compras/pt-br/acesso-a-informacao/legislacao/instrucoes-normativas/instrucao-normativa-seges-me-no-73-de-30-de-setembro-de-2022" \l "art29"</w:instrText>
      </w:r>
      <w:r>
        <w:rPr>
          <w:rStyle w:val="Style3"/>
          <w:rFonts w:eastAsia="Times New Roman" w:cs="Times New Roman" w:ascii="Times New Roman" w:hAnsi="Times New Roman"/>
          <w:color w:val="111111"/>
          <w:sz w:val="24"/>
          <w:szCs w:val="24"/>
          <w:u w:val="single"/>
        </w:rPr>
        <w:fldChar w:fldCharType="separate"/>
      </w:r>
      <w:r>
        <w:rPr>
          <w:rStyle w:val="Style3"/>
          <w:rFonts w:eastAsia="Times New Roman" w:cs="Times New Roman" w:ascii="Times New Roman" w:hAnsi="Times New Roman"/>
          <w:color w:val="111111"/>
          <w:sz w:val="24"/>
          <w:szCs w:val="24"/>
          <w:u w:val="single"/>
        </w:rPr>
        <w:t>artigo 29 a 35 da IN SEGES nº 73, de 30 de setembro de 2</w:t>
      </w:r>
      <w:r>
        <w:rPr>
          <w:rStyle w:val="Style3"/>
          <w:rFonts w:eastAsia="Times New Roman" w:cs="Times New Roman" w:ascii="Times New Roman" w:hAnsi="Times New Roman"/>
          <w:color w:val="111111"/>
          <w:sz w:val="24"/>
          <w:szCs w:val="24"/>
          <w:u w:val="single"/>
        </w:rPr>
        <w:fldChar w:fldCharType="end"/>
      </w:r>
      <w:r>
        <w:rPr>
          <w:rFonts w:eastAsia="Times New Roman" w:cs="Times New Roman" w:ascii="Times New Roman" w:hAnsi="Times New Roman"/>
          <w:color w:val="111111"/>
          <w:sz w:val="24"/>
          <w:szCs w:val="24"/>
          <w:u w:val="single"/>
        </w:rPr>
        <w:t>022</w:t>
      </w:r>
      <w:r>
        <w:rPr>
          <w:rFonts w:eastAsia="Times New Roman" w:cs="Times New Roman" w:ascii="Times New Roman" w:hAnsi="Times New Roman"/>
          <w:color w:val="111111"/>
          <w:sz w:val="24"/>
          <w:szCs w:val="24"/>
        </w:rPr>
        <w:t>.</w:t>
      </w:r>
    </w:p>
    <w:p>
      <w:pPr>
        <w:pStyle w:val="Heading2"/>
        <w:rPr>
          <w:color w:val="111111"/>
        </w:rPr>
      </w:pPr>
      <w:r>
        <w:rPr>
          <w:color w:val="111111"/>
        </w:rPr>
        <w:t>5.4. Será desclassificada a proposta vencedora que: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a) </w:t>
      </w:r>
      <w:r>
        <w:rPr>
          <w:rFonts w:eastAsia="Times New Roman" w:cs="Times New Roman" w:ascii="Times New Roman" w:hAnsi="Times New Roman"/>
          <w:color w:val="111111"/>
          <w:sz w:val="24"/>
          <w:szCs w:val="24"/>
        </w:rPr>
        <w:t>contiver vícios insanáveis;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b)</w:t>
      </w:r>
      <w:r>
        <w:rPr>
          <w:rFonts w:eastAsia="Times New Roman" w:cs="Times New Roman" w:ascii="Times New Roman" w:hAnsi="Times New Roman"/>
          <w:color w:val="111111"/>
          <w:sz w:val="24"/>
          <w:szCs w:val="24"/>
        </w:rPr>
        <w:t xml:space="preserve"> não obedecer às especificações técnicas contidas no Termo de Referência;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c) </w:t>
      </w:r>
      <w:r>
        <w:rPr>
          <w:rFonts w:eastAsia="Times New Roman" w:cs="Times New Roman" w:ascii="Times New Roman" w:hAnsi="Times New Roman"/>
          <w:color w:val="111111"/>
          <w:sz w:val="24"/>
          <w:szCs w:val="24"/>
        </w:rPr>
        <w:t>apresentar preços inexequíveis ou permanecerem acima do preço máximo definido para a contratação, tanto no valor global quanto no valor dos itens individualmente considerados, exceto ao que se refere às alíquotas de PIS E COFINS das empresas sujeitas ao regime não cumulativo, mediante comprovação do BDI, de acordo com a média das suas contribuições dos últimos 12 meses, conforme o disposto no Acórdão 2.622/2013 do TCU Plenário 25;</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d)</w:t>
      </w:r>
      <w:r>
        <w:rPr>
          <w:rFonts w:eastAsia="Times New Roman" w:cs="Times New Roman" w:ascii="Times New Roman" w:hAnsi="Times New Roman"/>
          <w:color w:val="111111"/>
          <w:sz w:val="24"/>
          <w:szCs w:val="24"/>
        </w:rPr>
        <w:t xml:space="preserve"> não tiverem sua exequibilidade demonstrada, quando exigido pela Administração;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e) </w:t>
      </w:r>
      <w:r>
        <w:rPr>
          <w:rFonts w:eastAsia="Times New Roman" w:cs="Times New Roman" w:ascii="Times New Roman" w:hAnsi="Times New Roman"/>
          <w:color w:val="111111"/>
          <w:sz w:val="24"/>
          <w:szCs w:val="24"/>
        </w:rPr>
        <w:t>apresentar desconformidade com quaisquer outras exigências deste Edital ou seus anexos, desde que insanável.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5.5. </w:t>
      </w:r>
      <w:r>
        <w:rPr>
          <w:rFonts w:eastAsia="Times New Roman" w:cs="Times New Roman" w:ascii="Times New Roman" w:hAnsi="Times New Roman"/>
          <w:color w:val="111111"/>
          <w:sz w:val="24"/>
          <w:szCs w:val="24"/>
        </w:rPr>
        <w:t>Eventual inexequibilidade, para o caso de bens e serviços em geral, só será declarada após diligências do pregoeiro, que comprovem cabalmente: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a)</w:t>
      </w:r>
      <w:r>
        <w:rPr>
          <w:rFonts w:eastAsia="Times New Roman" w:cs="Times New Roman" w:ascii="Times New Roman" w:hAnsi="Times New Roman"/>
          <w:color w:val="111111"/>
          <w:sz w:val="24"/>
          <w:szCs w:val="24"/>
        </w:rPr>
        <w:t xml:space="preserve"> que o custo da licitante ultrapassa o valor da proposta; 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b)</w:t>
      </w:r>
      <w:r>
        <w:rPr>
          <w:rFonts w:eastAsia="Times New Roman" w:cs="Times New Roman" w:ascii="Times New Roman" w:hAnsi="Times New Roman"/>
          <w:color w:val="111111"/>
          <w:sz w:val="24"/>
          <w:szCs w:val="24"/>
        </w:rPr>
        <w:t xml:space="preserve"> inexistirem custos de oportunidade capazes de justificar o vulto da oferta.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5.6. </w:t>
      </w:r>
      <w:r>
        <w:rPr>
          <w:rFonts w:eastAsia="Times New Roman" w:cs="Times New Roman" w:ascii="Times New Roman" w:hAnsi="Times New Roman"/>
          <w:color w:val="111111"/>
          <w:sz w:val="24"/>
          <w:szCs w:val="24"/>
        </w:rPr>
        <w:t>Em contratação de serviços de engenharia, além das disposições acima, a análise de exequibilidade e sobrepreço considerará o seguinte: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5.6.1.</w:t>
      </w:r>
      <w:r>
        <w:rPr>
          <w:rFonts w:eastAsia="Times New Roman" w:cs="Times New Roman" w:ascii="Times New Roman" w:hAnsi="Times New Roman"/>
          <w:color w:val="111111"/>
          <w:sz w:val="24"/>
          <w:szCs w:val="24"/>
        </w:rPr>
        <w:t xml:space="preserve"> Nos regimes de execução por tarefa, empreitada por preço global ou empreitada integral, semi-integrada ou integrada, a caracterização do sobrepreço se dará pela superação do valor global estimado;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5.6.2.</w:t>
      </w:r>
      <w:r>
        <w:rPr>
          <w:rFonts w:eastAsia="Times New Roman" w:cs="Times New Roman" w:ascii="Times New Roman" w:hAnsi="Times New Roman"/>
          <w:color w:val="111111"/>
          <w:sz w:val="24"/>
          <w:szCs w:val="24"/>
        </w:rPr>
        <w:t xml:space="preserve"> No regime de empreitada por preço unitário, a caracterização do sobrepreço se dará pela superação do valor global estimado e pela superação de custo unitário tido como relevante, conforme planilha anexa ao edital;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5.6.3. </w:t>
      </w:r>
      <w:r>
        <w:rPr>
          <w:rFonts w:eastAsia="Times New Roman" w:cs="Times New Roman" w:ascii="Times New Roman" w:hAnsi="Times New Roman"/>
          <w:color w:val="111111"/>
          <w:sz w:val="24"/>
          <w:szCs w:val="24"/>
        </w:rPr>
        <w:t>No caso de serviços de engenharia, serão consideradas inexequíveis as propostas cujos valores forem inferiores a 75% (setenta e cinco por cento) do valor orçado pela Administração, independentemente do regime de execução.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5.6.4.</w:t>
      </w:r>
      <w:r>
        <w:rPr>
          <w:rFonts w:eastAsia="Times New Roman" w:cs="Times New Roman" w:ascii="Times New Roman" w:hAnsi="Times New Roman"/>
          <w:color w:val="111111"/>
          <w:sz w:val="24"/>
          <w:szCs w:val="24"/>
        </w:rPr>
        <w:t xml:space="preserve"> Será exigida garantia adicional da licitante vencedora cuja proposta for inferior a 85% (oitenta e cinco por cento) do valor orçado pela Administração, equivalente à diferença entre este último e o valor da proposta, sem prejuízo das demais garantias exigíveis de acordo com a Lei.</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5.7. </w:t>
      </w:r>
      <w:r>
        <w:rPr>
          <w:rFonts w:eastAsia="Times New Roman" w:cs="Times New Roman" w:ascii="Times New Roman" w:hAnsi="Times New Roman"/>
          <w:color w:val="111111"/>
          <w:sz w:val="24"/>
          <w:szCs w:val="24"/>
        </w:rPr>
        <w:t>Se houver indícios de inexequibilidade da proposta de preço, ou em caso da necessidade de esclarecimentos complementares, poderão ser efetuadas diligências, para que a licitante comprove a exequibilidade da proposta.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5.8.</w:t>
      </w:r>
      <w:r>
        <w:rPr>
          <w:rFonts w:eastAsia="Times New Roman" w:cs="Times New Roman" w:ascii="Times New Roman" w:hAnsi="Times New Roman"/>
          <w:color w:val="111111"/>
          <w:sz w:val="24"/>
          <w:szCs w:val="24"/>
        </w:rPr>
        <w:t xml:space="preserve"> Caso o custo global estimado do objeto licitado tenha sido decomposto em seus respectivos custos unitários por meio de Planilha de Custos e Formação de Preços elaborada pela Administração, a licitante classificada em primeiro lugar será convocada para apresentar Planilha por ele elaborada, com os respectivos valores adequados ao valor final da sua proposta, sob pena de não aceitação da proposta.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5.8.1.</w:t>
      </w:r>
      <w:r>
        <w:rPr>
          <w:rFonts w:eastAsia="Times New Roman" w:cs="Times New Roman" w:ascii="Times New Roman" w:hAnsi="Times New Roman"/>
          <w:color w:val="111111"/>
          <w:sz w:val="24"/>
          <w:szCs w:val="24"/>
        </w:rPr>
        <w:t xml:space="preserve"> Em se tratando de serviços de engenharia, a licitante vencedora será convocada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5.9. </w:t>
      </w:r>
      <w:r>
        <w:rPr>
          <w:rFonts w:eastAsia="Times New Roman" w:cs="Times New Roman" w:ascii="Times New Roman" w:hAnsi="Times New Roman"/>
          <w:color w:val="111111"/>
          <w:sz w:val="24"/>
          <w:szCs w:val="24"/>
        </w:rPr>
        <w:t>Erros no preenchimento da planilha não constituem motivo para a desclassificação da proposta. A planilha poderá ser ajustada pela licitante, no prazo indicado pelo sistema, desde que não haja majoração do preço.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5.9.1. </w:t>
      </w:r>
      <w:r>
        <w:rPr>
          <w:rFonts w:eastAsia="Times New Roman" w:cs="Times New Roman" w:ascii="Times New Roman" w:hAnsi="Times New Roman"/>
          <w:color w:val="111111"/>
          <w:sz w:val="24"/>
          <w:szCs w:val="24"/>
        </w:rPr>
        <w:t>O ajuste de que trata este subitem se limita a sanar erros ou falhas que não alterem a substância das propostas.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5.10.  </w:t>
      </w:r>
      <w:r>
        <w:rPr>
          <w:rFonts w:eastAsia="Times New Roman" w:cs="Times New Roman" w:ascii="Times New Roman" w:hAnsi="Times New Roman"/>
          <w:color w:val="111111"/>
          <w:sz w:val="24"/>
          <w:szCs w:val="24"/>
        </w:rPr>
        <w:t>Para fins de análise da proposta quanto ao cumprimento das especificações do objeto, poderá ser colhida a manifestação escrita do setor requisitante do serviço ou da área especializada no objeto.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5.11</w:t>
      </w:r>
      <w:bookmarkStart w:id="0" w:name="_GoBack"/>
      <w:bookmarkEnd w:id="0"/>
      <w:r>
        <w:rPr>
          <w:rFonts w:eastAsia="Times New Roman" w:cs="Times New Roman" w:ascii="Times New Roman" w:hAnsi="Times New Roman"/>
          <w:b/>
          <w:bCs/>
          <w:color w:val="111111"/>
          <w:sz w:val="24"/>
          <w:szCs w:val="24"/>
        </w:rPr>
        <w:t xml:space="preserve">. </w:t>
      </w:r>
      <w:r>
        <w:rPr>
          <w:rFonts w:eastAsia="Times New Roman" w:cs="Times New Roman" w:ascii="Times New Roman" w:hAnsi="Times New Roman"/>
          <w:color w:val="111111"/>
          <w:sz w:val="24"/>
          <w:szCs w:val="24"/>
        </w:rPr>
        <w:t>No caso de não haver entrega da amostra e/ou realização de prova de conceito, ou ainda ocorrer atraso na entrega, sem justificativa aceita pelo Pregoeiro, ou havendo entrega de amostra fora das especificações previstas neste Edital, a licitante será desclassificada.</w:t>
      </w:r>
    </w:p>
    <w:p>
      <w:pPr>
        <w:pStyle w:val="Heading1"/>
        <w:rPr>
          <w:color w:val="111111"/>
        </w:rPr>
      </w:pPr>
      <w:r>
        <w:rPr>
          <w:color w:val="111111"/>
        </w:rPr>
        <w:t>6. DA FASE DE HABILITAÇÃO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6.1. </w:t>
      </w:r>
      <w:r>
        <w:rPr>
          <w:rFonts w:eastAsia="Times New Roman" w:cs="Times New Roman" w:ascii="Times New Roman" w:hAnsi="Times New Roman"/>
          <w:color w:val="111111"/>
          <w:sz w:val="24"/>
          <w:szCs w:val="24"/>
        </w:rPr>
        <w:t>Será exigida a apresentação dos documentos de habilitação apenas pelo licitante arrematante. Para fins de habilitação, a licitante deverá enviar os seguintes documentos, no prazo máximo de 01 (um) dia útil, contado a partir da solicitação do Pregoeiro, podendo o prazo ser prorrogado a critério da Administração:</w:t>
      </w:r>
    </w:p>
    <w:p>
      <w:pPr>
        <w:pStyle w:val="Heading2"/>
        <w:rPr>
          <w:color w:val="111111"/>
        </w:rPr>
      </w:pPr>
      <w:r>
        <w:rPr>
          <w:color w:val="111111"/>
        </w:rPr>
        <w:t>6.1.1. Habilitação Jurídica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6.1.1.1 </w:t>
      </w:r>
      <w:r>
        <w:rPr>
          <w:rFonts w:eastAsia="Times New Roman" w:cs="Times New Roman" w:ascii="Times New Roman" w:hAnsi="Times New Roman"/>
          <w:color w:val="111111"/>
          <w:sz w:val="24"/>
          <w:szCs w:val="24"/>
        </w:rPr>
        <w:t>Registro Comercial, Certificado da Condição de Microempreendedor Individual – CCMEI, Ato Constitutivo, Estatuto ou Contrato Social e suas alterações, se houver, devidamente registrado na Junta Comercial, em se tratando de sociedades comerciais, acompanhado, no caso de sociedade por ações, de documento de eleição de seus atuais administradores; inscrição do ato constitutivo, no caso de sociedade civil, acompanhada de prova da diretoria em exercício; ou decreto de autorização, em se tratando de empresa ou sociedade estrangeira em funcionamento no País, em vigor.</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a)</w:t>
      </w:r>
      <w:r>
        <w:rPr>
          <w:rFonts w:eastAsia="Times New Roman" w:cs="Times New Roman" w:ascii="Times New Roman" w:hAnsi="Times New Roman"/>
          <w:color w:val="111111"/>
          <w:sz w:val="24"/>
          <w:szCs w:val="24"/>
        </w:rPr>
        <w:t xml:space="preserve"> A licitante poderá apresentar a versão consolidada do documento solicitado acima, devendo vir acompanhado de todas as alterações posteriores, caso houver.</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b)</w:t>
      </w:r>
      <w:r>
        <w:rPr>
          <w:rFonts w:eastAsia="Times New Roman" w:cs="Times New Roman" w:ascii="Times New Roman" w:hAnsi="Times New Roman"/>
          <w:color w:val="111111"/>
          <w:sz w:val="24"/>
          <w:szCs w:val="24"/>
        </w:rPr>
        <w:t xml:space="preserve"> Somente será(ão) habilitado(s) a(s) licitantes(s) que apresentar(em), além de toda a documentação exigida, o ramo pertinente ao objeto desta contratação no seu objeto social.</w:t>
      </w:r>
    </w:p>
    <w:p>
      <w:pPr>
        <w:pStyle w:val="Heading2"/>
        <w:rPr>
          <w:color w:val="111111"/>
        </w:rPr>
      </w:pPr>
      <w:r>
        <w:rPr>
          <w:color w:val="111111"/>
        </w:rPr>
        <w:t>6.1.2. Regularidade Fiscal, Social e Trabalhista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6.1.2.1. </w:t>
      </w:r>
      <w:r>
        <w:rPr>
          <w:rFonts w:eastAsia="Times New Roman" w:cs="Times New Roman" w:ascii="Times New Roman" w:hAnsi="Times New Roman"/>
          <w:color w:val="111111"/>
          <w:sz w:val="24"/>
          <w:szCs w:val="24"/>
        </w:rPr>
        <w:t>Prova de Regularidade com a Fazenda Federal, mediante a apresentação da Certidão de Tributos e Contribuições Federais e Dívida Ativa da União, abrangendo inclusive as contribuições sociais previstas nas alíneas 'a' a 'd' do parágrafo único do art. 11 da Lei n°. 8.212, de 24 de julho de 1991, em vigor.</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6.1.2.2. </w:t>
      </w:r>
      <w:r>
        <w:rPr>
          <w:rFonts w:eastAsia="Times New Roman" w:cs="Times New Roman" w:ascii="Times New Roman" w:hAnsi="Times New Roman"/>
          <w:color w:val="111111"/>
          <w:sz w:val="24"/>
          <w:szCs w:val="24"/>
        </w:rPr>
        <w:t>Prova de Regularidade com a Fazenda Estadual, em vigor.</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6.1.2.3. </w:t>
      </w:r>
      <w:r>
        <w:rPr>
          <w:rFonts w:eastAsia="Times New Roman" w:cs="Times New Roman" w:ascii="Times New Roman" w:hAnsi="Times New Roman"/>
          <w:color w:val="111111"/>
          <w:sz w:val="24"/>
          <w:szCs w:val="24"/>
        </w:rPr>
        <w:t>Prova de Regularidade com a Fazenda Municipal, em vigor, conforme legislação tributária do Município expedidor da empresa que ora se habilita para este certame.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6.1.2.4. </w:t>
      </w:r>
      <w:r>
        <w:rPr>
          <w:rFonts w:eastAsia="Times New Roman" w:cs="Times New Roman" w:ascii="Times New Roman" w:hAnsi="Times New Roman"/>
          <w:color w:val="111111"/>
          <w:sz w:val="24"/>
          <w:szCs w:val="24"/>
        </w:rPr>
        <w:t>Prova de Regularidade junto ao Fundo de Garantia por Tempo de Serviço (FGTS), em vigor, demonstrando a situação regular ao cumprimento dos encargos sociais instituídos por Lei.</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6.1.2.5. </w:t>
      </w:r>
      <w:r>
        <w:rPr>
          <w:rFonts w:eastAsia="Times New Roman" w:cs="Times New Roman" w:ascii="Times New Roman" w:hAnsi="Times New Roman"/>
          <w:color w:val="111111"/>
          <w:sz w:val="24"/>
          <w:szCs w:val="24"/>
        </w:rPr>
        <w:t>Prova de regularidade perante a Justiça do Trabalho, mediante apresentação de certidão emitida pelo Tribunal Superior do Trabalho, em vigor.</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6.1.2.6.</w:t>
      </w:r>
      <w:r>
        <w:rPr>
          <w:rFonts w:eastAsia="Times New Roman" w:cs="Times New Roman" w:ascii="Times New Roman" w:hAnsi="Times New Roman"/>
          <w:color w:val="111111"/>
          <w:sz w:val="24"/>
          <w:szCs w:val="24"/>
        </w:rPr>
        <w:t xml:space="preserve"> Prova de inscrição no Cadastro Nacional de Pessoa Jurídica (CNPJ).</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6.1.2.7. </w:t>
      </w:r>
      <w:r>
        <w:rPr>
          <w:rFonts w:eastAsia="Times New Roman" w:cs="Times New Roman" w:ascii="Times New Roman" w:hAnsi="Times New Roman"/>
          <w:color w:val="111111"/>
          <w:sz w:val="24"/>
          <w:szCs w:val="24"/>
        </w:rPr>
        <w:t xml:space="preserve">Inscrição no cadastro de contribuintes estadual e/ou municipal, se houver, relativo ao domicílio ou sede do licitante, pertinente ao seu ramo de atividade e compatível com o objeto contratual. </w:t>
      </w:r>
    </w:p>
    <w:p>
      <w:pPr>
        <w:pStyle w:val="Heading2"/>
        <w:rPr>
          <w:color w:val="111111"/>
        </w:rPr>
      </w:pPr>
      <w:r>
        <w:rPr>
          <w:color w:val="111111"/>
        </w:rPr>
        <w:t>6.1.3. Qualificação Econômico-Financeira</w:t>
      </w:r>
    </w:p>
    <w:p>
      <w:pPr>
        <w:pStyle w:val="Heading2"/>
        <w:rPr>
          <w:color w:val="111111"/>
        </w:rPr>
      </w:pPr>
      <w:r>
        <w:rPr>
          <w:color w:val="111111"/>
        </w:rPr>
        <w:t>DOCUMENTOS RELATIVOS À QUALIFICAÇÃO ECONÔMICO-FINANCEIRA</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 </w:t>
      </w:r>
      <w:r>
        <w:rPr>
          <w:rFonts w:eastAsia="Times New Roman" w:cs="Times New Roman" w:ascii="Times New Roman" w:hAnsi="Times New Roman"/>
          <w:b/>
          <w:color w:val="111111"/>
          <w:sz w:val="24"/>
          <w:szCs w:val="24"/>
        </w:rPr>
        <w:t>6.1.3.1</w:t>
      </w:r>
      <w:r>
        <w:rPr>
          <w:rFonts w:eastAsia="Times New Roman" w:cs="Times New Roman" w:ascii="Times New Roman" w:hAnsi="Times New Roman"/>
          <w:color w:val="111111"/>
          <w:sz w:val="24"/>
          <w:szCs w:val="24"/>
        </w:rPr>
        <w:t>. Será exigida certidão negativa em matéria falimentar, de recuperação judicial e extrajudicial, expedida pelo distribuidor da sede da licitante.</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Será admitida a participação de empresas em processo de recuperação judicial ou extrajudicial, desde que atendidas as disposições do subitem 2.16 e correlatos.</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 </w:t>
      </w:r>
      <w:r>
        <w:rPr>
          <w:rFonts w:eastAsia="Times New Roman" w:cs="Times New Roman" w:ascii="Times New Roman" w:hAnsi="Times New Roman"/>
          <w:b/>
          <w:color w:val="111111"/>
          <w:sz w:val="24"/>
          <w:szCs w:val="24"/>
        </w:rPr>
        <w:t>6.1.3.2.</w:t>
      </w:r>
      <w:r>
        <w:rPr>
          <w:rFonts w:eastAsia="Times New Roman" w:cs="Times New Roman" w:ascii="Times New Roman" w:hAnsi="Times New Roman"/>
          <w:color w:val="111111"/>
          <w:sz w:val="24"/>
          <w:szCs w:val="24"/>
        </w:rPr>
        <w:t xml:space="preserve"> Será exigido balanço patrimonial e demonstrações contábeis dos 2 (dois) últimos exercícios sociais, já exigíveis e apresentados na forma da lei, devidamente autenticados em órgão competente, que comprovem a boa situação financeira da licitante, sendo vedada a substituição por balancetes ou balanços provisórios. As demonstrações poderão ser atualizadas por índices oficiais quando encerradas há mais de 3 (três) meses da data de apresentação da proposta.</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6.1.3.2.1</w:t>
      </w:r>
      <w:r>
        <w:rPr>
          <w:rFonts w:eastAsia="Times New Roman" w:cs="Times New Roman" w:ascii="Times New Roman" w:hAnsi="Times New Roman"/>
          <w:color w:val="111111"/>
          <w:sz w:val="24"/>
          <w:szCs w:val="24"/>
        </w:rPr>
        <w:t>. Com base nos dados extraídos do balanço patrimonial do último exercício social, será avaliada a capacidade financeira da licitante, na forma do Decreto Municipal nº 589/2005, mediante a apuração dos seguintes índices:</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a) Para Obras e Serviços de Engenharia:</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Liquidez Corrente (LC) = AC ÷ PC (igual ou superior a 1,0);</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Liquidez Geral (LG) = (AC + RLP) ÷ (PC + ELP) (igual ou superior a 1,0);</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Solvência Geral (SG) = AT ÷ (PC + ELP) (igual ou superior a 1,5).</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b) Para Aquisição de Bens e outros Serviços:</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Liquidez Corrente (LC) = AC ÷ PC (igual ou superior a 1,0);</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Liquidez Geral (LG) = (AC + RLP) ÷ (PC + ELP) (igual ou superior a 1,0);</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Solvência Geral (SG) = AT ÷ (PC + ELP) (igual ou superior a 1,0).</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6.1.3.2.2</w:t>
      </w:r>
      <w:r>
        <w:rPr>
          <w:rFonts w:eastAsia="Times New Roman" w:cs="Times New Roman" w:ascii="Times New Roman" w:hAnsi="Times New Roman"/>
          <w:color w:val="111111"/>
          <w:sz w:val="24"/>
          <w:szCs w:val="24"/>
        </w:rPr>
        <w:t>. Em conformidade com o art. 15 da Lei nº 14.133/2021 e em atendimento aos itens 6.4.1.7 e 7.2.1 do Termo de Referência, integrante deste edital, será permitida a participação de empresas na forma de consórcio.</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6.1.3.2.2.1.</w:t>
      </w:r>
      <w:r>
        <w:rPr>
          <w:rFonts w:eastAsia="Times New Roman" w:cs="Times New Roman" w:ascii="Times New Roman" w:hAnsi="Times New Roman"/>
          <w:color w:val="111111"/>
          <w:sz w:val="24"/>
          <w:szCs w:val="24"/>
        </w:rPr>
        <w:t xml:space="preserve"> Caso seja permitida a participação de consórcios, para fins de habilitação econômico-financeira, será aplicado acréscimo de 20% (vinte por cento) sobre os índices exigidos das licitantes individuais, excetuadas as hipóteses de consórcios formados exclusivamente por microempresas e empresas de pequeno porte, conforme disposto no § 2º do referido artigo.</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6.1.3.2.3.</w:t>
      </w:r>
      <w:r>
        <w:rPr>
          <w:rFonts w:eastAsia="Times New Roman" w:cs="Times New Roman" w:ascii="Times New Roman" w:hAnsi="Times New Roman"/>
          <w:color w:val="111111"/>
          <w:sz w:val="24"/>
          <w:szCs w:val="24"/>
        </w:rPr>
        <w:t xml:space="preserve"> A documentação necessária à comprovação da capacidade econômico-financeira da licitante será constituída pelas demonstrações contábeis integrantes do balanço patrimonial, da demonstração do resultado do exercício e, preferencialmente, das notas explicativas, referentes aos 2 (dois) últimos exercícios sociais.</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6.1.3.2.4.</w:t>
      </w:r>
      <w:r>
        <w:rPr>
          <w:rFonts w:eastAsia="Times New Roman" w:cs="Times New Roman" w:ascii="Times New Roman" w:hAnsi="Times New Roman"/>
          <w:color w:val="111111"/>
          <w:sz w:val="24"/>
          <w:szCs w:val="24"/>
        </w:rPr>
        <w:t xml:space="preserve"> As Notas Explicativas serão consideradas parte integrante das demonstrações contábeis, conforme as normas do Conselho Federal de Contabilidade. A sua ausência, contudo, não implicará, por si só, a inabilitação da licitante, desde que as demais peças estejam regulares e que os índices econômico-financeiros exigidos sejam passíveis de verificação e estejam em conformidade com os parâmetros mínimos estabelecidos neste edital.</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6.1.3.2.5.</w:t>
      </w:r>
      <w:r>
        <w:rPr>
          <w:rFonts w:eastAsia="Times New Roman" w:cs="Times New Roman" w:ascii="Times New Roman" w:hAnsi="Times New Roman"/>
          <w:color w:val="111111"/>
          <w:sz w:val="24"/>
          <w:szCs w:val="24"/>
        </w:rPr>
        <w:t xml:space="preserve"> Poderá ser realizada diligência, nos termos do inciso I do art. 64 da Lei nº 14.133/2021, para apresentação posterior das Notas Explicativas ou para esclarecimento de dúvidas quanto aos dados apresentados, sempre que necessário à adequada análise da qualificação econômico-financeira.</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6.1.3.2.6</w:t>
      </w:r>
      <w:r>
        <w:rPr>
          <w:rFonts w:eastAsia="Times New Roman" w:cs="Times New Roman" w:ascii="Times New Roman" w:hAnsi="Times New Roman"/>
          <w:color w:val="111111"/>
          <w:sz w:val="24"/>
          <w:szCs w:val="24"/>
        </w:rPr>
        <w:t>. Para fins de apuração dos índices econômico-financeiros exigidos neste edital (Liquidez Corrente, Liquidez Geral e Solvência Geral), será considerada, prioritariamente, a demonstração contábil referente ao último exercício social encerrado. Caso, na data de abertura da licitação, ainda não tenha expirado o prazo legal para entrega das demonstrações contábeis aos órgãos de fiscalização, admitir-se-á a apresentação das demonstrações relativas ao penúltimo exercício. Todavia, caso a empresa já tenha elaborado e transmitido as demonstrações do último exercício, estas deverão ser obrigatoriamente apresentadas e consideradas para fins de análise da qualificação econômico-financeira.</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6.1.3.2.7</w:t>
      </w:r>
      <w:r>
        <w:rPr>
          <w:rFonts w:eastAsia="Times New Roman" w:cs="Times New Roman" w:ascii="Times New Roman" w:hAnsi="Times New Roman"/>
          <w:color w:val="111111"/>
          <w:sz w:val="24"/>
          <w:szCs w:val="24"/>
        </w:rPr>
        <w:t>. As empresas que não tenham concluído seu primeiro exercício social deverão atender às exigências de habilitação, ficando autorizadas a substituir os demonstrativos contábeis pelo balanço de abertura, devidamente registrado em órgão competente.</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6.1.3.3</w:t>
      </w:r>
      <w:r>
        <w:rPr>
          <w:rFonts w:eastAsia="Times New Roman" w:cs="Times New Roman" w:ascii="Times New Roman" w:hAnsi="Times New Roman"/>
          <w:color w:val="111111"/>
          <w:sz w:val="24"/>
          <w:szCs w:val="24"/>
        </w:rPr>
        <w:t>. Toda a documentação destinada à comprovação da capacidade econômico-financeira deverá referir-se aos 2 (dois) últimos exercícios sociais, constituindo-se conforme disposto nos subitens a seguir.</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6.1.3.3.1.</w:t>
      </w:r>
      <w:r>
        <w:rPr>
          <w:rFonts w:eastAsia="Times New Roman" w:cs="Times New Roman" w:ascii="Times New Roman" w:hAnsi="Times New Roman"/>
          <w:color w:val="111111"/>
          <w:sz w:val="24"/>
          <w:szCs w:val="24"/>
        </w:rPr>
        <w:t xml:space="preserve"> As empresas com escrituração digital deverão apresentar a impressão do arquivo gerado pelo SPED Contábil, contendo as demonstrações contábeis dos 2 (dois) últimos exercícios sociais, compreendendo:</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a) Termo de Abertura e Encerramento;</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b) Balanço Patrimonial;</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c) Demonstração do Resultado do Exercício;</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d) Notas Explicativas, quando disponíveis. Caso ausentes do arquivo SPED Contábil  (campo J800), poderá ser realizada diligência para apresentação posterior, se a ausência comprometer a verificação dos dados econômico-financeiros.</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 xml:space="preserve">6.1.3.3.1.1. </w:t>
      </w:r>
      <w:r>
        <w:rPr>
          <w:rFonts w:eastAsia="Times New Roman" w:cs="Times New Roman" w:ascii="Times New Roman" w:hAnsi="Times New Roman"/>
          <w:color w:val="111111"/>
          <w:sz w:val="24"/>
          <w:szCs w:val="24"/>
        </w:rPr>
        <w:t>Não serão aceitas demonstrações contábeis registradas em outro órgão competente, caso a empresa tenha realizado a entrega do SPED Contábil, nos termos dos arts. 39-A e 39-B da Lei nº 8.934/1994.</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6.1.3.3.1.2</w:t>
      </w:r>
      <w:r>
        <w:rPr>
          <w:rFonts w:eastAsia="Times New Roman" w:cs="Times New Roman" w:ascii="Times New Roman" w:hAnsi="Times New Roman"/>
          <w:color w:val="111111"/>
          <w:sz w:val="24"/>
          <w:szCs w:val="24"/>
        </w:rPr>
        <w:t>. Por ocasião da análise econômico-financeira, a Administração poderá exigir a apresentação da cópia de segurança do arquivo SPED, devidamente autenticada pela Receita Federal do Brasil, para fins de verificação de autenticidade. </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6.1.3.3.2.</w:t>
      </w:r>
      <w:r>
        <w:rPr>
          <w:rFonts w:eastAsia="Times New Roman" w:cs="Times New Roman" w:ascii="Times New Roman" w:hAnsi="Times New Roman"/>
          <w:color w:val="111111"/>
          <w:sz w:val="24"/>
          <w:szCs w:val="24"/>
        </w:rPr>
        <w:t xml:space="preserve"> As empresas com escrituração em meio físico deverão apresentar as demonstrações contábeis dos 2 (dois) últimos exercícios sociais, devidamente autenticadas em órgão competente, consistindo em:</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a) Termo de Abertura e Encerramento;</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b) Balanço Patrimonial;</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c) Demonstração do Resultado do Exercício;</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d) Notas Explicativas, quando disponíveis, podendo ser solicitadas por diligência</w:t>
      </w:r>
    </w:p>
    <w:p>
      <w:pPr>
        <w:pStyle w:val="Normal"/>
        <w:keepLines w:val="false"/>
        <w:widowControl/>
        <w:spacing w:beforeAutospacing="1" w:afterAutospacing="1"/>
        <w:jc w:val="both"/>
        <w:rPr>
          <w:color w:val="111111"/>
        </w:rPr>
      </w:pPr>
      <w:r>
        <w:rPr>
          <w:rFonts w:eastAsia="Times New Roman" w:cs="Times New Roman" w:ascii="Times New Roman" w:hAnsi="Times New Roman"/>
          <w:color w:val="111111"/>
          <w:sz w:val="24"/>
          <w:szCs w:val="24"/>
        </w:rPr>
        <w:t>quando ausentes, nos termos do item 6.1.3.2.5.</w:t>
      </w:r>
    </w:p>
    <w:p>
      <w:pPr>
        <w:pStyle w:val="Normal"/>
        <w:keepLines w:val="false"/>
        <w:widowControl/>
        <w:spacing w:beforeAutospacing="1" w:afterAutospacing="1"/>
        <w:jc w:val="both"/>
        <w:rPr>
          <w:color w:val="111111"/>
        </w:rPr>
      </w:pPr>
      <w:r>
        <w:rPr>
          <w:rFonts w:eastAsia="Times New Roman" w:cs="Times New Roman" w:ascii="Times New Roman" w:hAnsi="Times New Roman"/>
          <w:b/>
          <w:color w:val="111111"/>
          <w:sz w:val="24"/>
          <w:szCs w:val="24"/>
        </w:rPr>
        <w:t>6.1.3.4.</w:t>
      </w:r>
      <w:r>
        <w:rPr>
          <w:rFonts w:eastAsia="Times New Roman" w:cs="Times New Roman" w:ascii="Times New Roman" w:hAnsi="Times New Roman"/>
          <w:color w:val="111111"/>
          <w:sz w:val="24"/>
          <w:szCs w:val="24"/>
        </w:rPr>
        <w:t xml:space="preserve"> Na habilitação em licitações para fornecimento de bens para pronta entrega ou para locação de materiais, não será exigida a apresentação de balanço patrimonial da microempresa ou empresa de pequeno porte, do agricultor familiar, do produtor rural pessoa física, do microempreendedor individual ou da sociedade cooperativa, nos termos do art. 1º, § 2º, e do art. 6º do Decreto Municipal nº 110/2024.</w:t>
      </w:r>
    </w:p>
    <w:p>
      <w:pPr>
        <w:pStyle w:val="Normal"/>
        <w:rPr>
          <w:color w:val="111111"/>
        </w:rPr>
      </w:pPr>
      <w:r>
        <w:rPr>
          <w:color w:val="111111"/>
        </w:rPr>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6.1.3.1.</w:t>
      </w:r>
      <w:r>
        <w:rPr>
          <w:rFonts w:eastAsia="Times New Roman" w:cs="Times New Roman" w:ascii="Times New Roman" w:hAnsi="Times New Roman"/>
          <w:color w:val="111111"/>
          <w:sz w:val="24"/>
          <w:szCs w:val="24"/>
        </w:rPr>
        <w:t xml:space="preserve"> Certidão negativa em matéria falimentar, de recuperação judicial e extrajudicial, expedida pelo distribuidor da sede da licitante. Será admitida a participação de empresas em </w:t>
      </w:r>
      <w:r>
        <w:rPr>
          <w:rFonts w:eastAsia="Times New Roman" w:cs="Times New Roman" w:ascii="Times New Roman" w:hAnsi="Times New Roman"/>
          <w:b/>
          <w:bCs/>
          <w:color w:val="111111"/>
          <w:sz w:val="24"/>
          <w:szCs w:val="24"/>
        </w:rPr>
        <w:t>processo de recuperação judicial ou extrajudicial</w:t>
      </w:r>
      <w:r>
        <w:rPr>
          <w:rFonts w:eastAsia="Times New Roman" w:cs="Times New Roman" w:ascii="Times New Roman" w:hAnsi="Times New Roman"/>
          <w:color w:val="111111"/>
          <w:sz w:val="24"/>
          <w:szCs w:val="24"/>
        </w:rPr>
        <w:t>, mediante atendimento do subitem 2.16. e seguintes.</w:t>
      </w:r>
    </w:p>
    <w:p>
      <w:pPr>
        <w:pStyle w:val="Heading2"/>
        <w:rPr>
          <w:color w:val="111111"/>
        </w:rPr>
      </w:pPr>
      <w:r>
        <w:rPr>
          <w:color w:val="111111"/>
        </w:rPr>
        <w:t>6.1.4. Qualificação Técnica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6.1.4.1.</w:t>
      </w:r>
      <w:r>
        <w:rPr>
          <w:rFonts w:eastAsia="Times New Roman" w:cs="Times New Roman" w:ascii="Times New Roman" w:hAnsi="Times New Roman"/>
          <w:color w:val="111111"/>
          <w:sz w:val="24"/>
          <w:szCs w:val="24"/>
        </w:rPr>
        <w:t xml:space="preserve">  Os documentos de qualificação técnica estão previstos no Anexo II do Termo de Referência.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6.2. </w:t>
      </w:r>
      <w:r>
        <w:rPr>
          <w:rFonts w:eastAsia="Times New Roman" w:cs="Times New Roman" w:ascii="Times New Roman" w:hAnsi="Times New Roman"/>
          <w:color w:val="111111"/>
          <w:sz w:val="24"/>
          <w:szCs w:val="24"/>
        </w:rPr>
        <w:t>Quando permitida a participação de empresas estrangeiras que não funcionem no País, as exigências de habilitação serão atendidas mediante documentos equivalentes, inicialmente apresentados em tradução livre.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6.3. </w:t>
      </w:r>
      <w:r>
        <w:rPr>
          <w:rFonts w:eastAsia="Times New Roman" w:cs="Times New Roman" w:ascii="Times New Roman" w:hAnsi="Times New Roman"/>
          <w:color w:val="111111"/>
          <w:sz w:val="24"/>
          <w:szCs w:val="24"/>
        </w:rPr>
        <w:t>Na hipótese de a licitante vencedora ser empresa estrangeira que não funcione no País, para ﬁns de assinatura do contrato, os documentos exigidos para a habilitação serão traduzidos por tradutor juramentado no País e apostilados nos termos do disposto no Decreto nº 8.660, de 29 de janeiro de 2016, ou de outro que venha a substituí-lo, ou consularizados pelos respectivos consulados ou embaixadas.</w:t>
      </w:r>
    </w:p>
    <w:p>
      <w:pPr>
        <w:pStyle w:val="Heading2"/>
        <w:rPr>
          <w:color w:val="111111"/>
        </w:rPr>
      </w:pPr>
      <w:r>
        <w:rPr>
          <w:color w:val="111111"/>
        </w:rPr>
        <w:t>6.4. Participação de empresas em consórcio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6.4.1. </w:t>
      </w:r>
      <w:r>
        <w:rPr>
          <w:rFonts w:eastAsia="Times New Roman" w:cs="Times New Roman" w:ascii="Times New Roman" w:hAnsi="Times New Roman"/>
          <w:color w:val="111111"/>
          <w:sz w:val="24"/>
          <w:szCs w:val="24"/>
        </w:rPr>
        <w:t xml:space="preserve">Admitida a </w:t>
      </w:r>
      <w:r>
        <w:rPr>
          <w:rFonts w:eastAsia="Times New Roman" w:cs="Times New Roman" w:ascii="Times New Roman" w:hAnsi="Times New Roman"/>
          <w:b/>
          <w:bCs/>
          <w:color w:val="111111"/>
          <w:sz w:val="24"/>
          <w:szCs w:val="24"/>
          <w:u w:val="single"/>
        </w:rPr>
        <w:t>participação de empresas reunidas sob a forma de consórcio</w:t>
      </w:r>
      <w:r>
        <w:rPr>
          <w:rFonts w:eastAsia="Times New Roman" w:cs="Times New Roman" w:ascii="Times New Roman" w:hAnsi="Times New Roman"/>
          <w:color w:val="111111"/>
          <w:sz w:val="24"/>
          <w:szCs w:val="24"/>
        </w:rPr>
        <w:t xml:space="preserve">, nos termos do art. 15 da Lei Federal nº. 14.133/2021, observar-se-á o que segue: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6.4.1.1. </w:t>
      </w:r>
      <w:r>
        <w:rPr>
          <w:rFonts w:eastAsia="Times New Roman" w:cs="Times New Roman" w:ascii="Times New Roman" w:hAnsi="Times New Roman"/>
          <w:color w:val="111111"/>
          <w:sz w:val="24"/>
          <w:szCs w:val="24"/>
        </w:rPr>
        <w:t>A habilitação técnica, quando exigida, será feita por meio do somatório dos quantitativos de cada consorciado e, para efeito de habilitação econômico-financeira, quando exigida, será observado o somatório dos valores de cada consorciado.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6.4.1.2. </w:t>
      </w:r>
      <w:r>
        <w:rPr>
          <w:rFonts w:eastAsia="Times New Roman" w:cs="Times New Roman" w:ascii="Times New Roman" w:hAnsi="Times New Roman"/>
          <w:color w:val="111111"/>
          <w:sz w:val="24"/>
          <w:szCs w:val="24"/>
        </w:rPr>
        <w:t>A comprovação de compromisso público ou particular de constituição de consórcio, subscrito pelos consorciados, discriminará os poderes e encargos de cada consorciado e indicará a etapa do objeto a que cada um ficará responsável, com o respectivo percentual de participação, devendo ser entregue juntamente com os documentos de habilitação.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6.4.1.3.</w:t>
      </w:r>
      <w:r>
        <w:rPr>
          <w:rFonts w:eastAsia="Times New Roman" w:cs="Times New Roman" w:ascii="Times New Roman" w:hAnsi="Times New Roman"/>
          <w:color w:val="111111"/>
          <w:sz w:val="24"/>
          <w:szCs w:val="24"/>
        </w:rPr>
        <w:t xml:space="preserve"> Deverá ser indicada a empresa líder do consórcio, que será responsável por sua representação perante a Administração.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6.4.1.4.</w:t>
      </w:r>
      <w:r>
        <w:rPr>
          <w:rFonts w:eastAsia="Times New Roman" w:cs="Times New Roman" w:ascii="Times New Roman" w:hAnsi="Times New Roman"/>
          <w:color w:val="111111"/>
          <w:sz w:val="24"/>
          <w:szCs w:val="24"/>
        </w:rPr>
        <w:t xml:space="preserve"> A empresa consorciada fica impedida de participar isoladamente desta licitação, assim como de integrar mais de um consórcio.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6.4.1.5.</w:t>
      </w:r>
      <w:r>
        <w:rPr>
          <w:rFonts w:eastAsia="Times New Roman" w:cs="Times New Roman" w:ascii="Times New Roman" w:hAnsi="Times New Roman"/>
          <w:color w:val="111111"/>
          <w:sz w:val="24"/>
          <w:szCs w:val="24"/>
        </w:rPr>
        <w:t xml:space="preserve"> Os integrantes do consórcio respondem de forma solidária pelos atos praticados em consórcio, tanto na fase de licitação, quanto na de execução do contrato.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6.4.1.6.</w:t>
      </w:r>
      <w:r>
        <w:rPr>
          <w:rFonts w:eastAsia="Times New Roman" w:cs="Times New Roman" w:ascii="Times New Roman" w:hAnsi="Times New Roman"/>
          <w:color w:val="111111"/>
          <w:sz w:val="24"/>
          <w:szCs w:val="24"/>
        </w:rPr>
        <w:t xml:space="preserve"> O licitante vencedor é obrigado a promover, antes da celebração do contrato, a constituição e o registro do consórcio, nos termos do compromisso referido no subitem </w:t>
      </w:r>
      <w:r>
        <w:rPr>
          <w:rFonts w:eastAsia="Times New Roman" w:cs="Times New Roman" w:ascii="Times New Roman" w:hAnsi="Times New Roman"/>
          <w:b/>
          <w:bCs/>
          <w:color w:val="111111"/>
          <w:sz w:val="24"/>
          <w:szCs w:val="24"/>
        </w:rPr>
        <w:t>6.4.1.2.</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6.4.1.7.</w:t>
      </w:r>
      <w:r>
        <w:rPr>
          <w:rFonts w:eastAsia="Times New Roman" w:cs="Times New Roman" w:ascii="Times New Roman" w:hAnsi="Times New Roman"/>
          <w:color w:val="111111"/>
          <w:sz w:val="24"/>
          <w:szCs w:val="24"/>
        </w:rPr>
        <w:t xml:space="preserve"> Em relação à habilitação econômico-financeira, haverá um acréscimo de </w:t>
      </w:r>
      <w:r>
        <w:rPr>
          <w:rFonts w:eastAsia="Times New Roman" w:cs="Times New Roman" w:ascii="Times New Roman" w:hAnsi="Times New Roman"/>
          <w:color w:val="111111"/>
          <w:sz w:val="24"/>
          <w:szCs w:val="24"/>
        </w:rPr>
        <w:t xml:space="preserve">20% </w:t>
      </w:r>
      <w:r>
        <w:rPr>
          <w:rFonts w:eastAsia="Times New Roman" w:cs="Times New Roman" w:ascii="Times New Roman" w:hAnsi="Times New Roman"/>
          <w:color w:val="111111"/>
          <w:sz w:val="24"/>
          <w:szCs w:val="24"/>
        </w:rPr>
        <w:t xml:space="preserve">para o consórcio, em relação ao valor exigido para os licitantes individuais, exceto se o consórcio for formado integralmente por microempresas ou empresas de pequeno porte. </w:t>
      </w:r>
      <w:r>
        <w:rPr>
          <w:rFonts w:eastAsia="Times New Roman" w:cs="Times New Roman" w:ascii="Times New Roman" w:hAnsi="Times New Roman"/>
          <w:i/>
          <w:iCs/>
          <w:color w:val="111111"/>
          <w:sz w:val="24"/>
          <w:szCs w:val="24"/>
        </w:rPr>
        <w:t xml:space="preserve">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6.4.1.8.</w:t>
      </w:r>
      <w:r>
        <w:rPr>
          <w:rFonts w:eastAsia="Times New Roman" w:cs="Times New Roman" w:ascii="Times New Roman" w:hAnsi="Times New Roman"/>
          <w:color w:val="111111"/>
          <w:sz w:val="24"/>
          <w:szCs w:val="24"/>
        </w:rPr>
        <w:t xml:space="preserve"> Farão jus ao tratamento diferenciado, previsto na Lei Complementar n° 123/2006, os consórcios </w:t>
      </w:r>
      <w:r>
        <w:rPr>
          <w:rFonts w:eastAsia="Times New Roman" w:cs="Times New Roman" w:ascii="Times New Roman" w:hAnsi="Times New Roman"/>
          <w:b/>
          <w:bCs/>
          <w:color w:val="111111"/>
          <w:sz w:val="24"/>
          <w:szCs w:val="24"/>
        </w:rPr>
        <w:t>constituídos em sua totalidade por ME/EPP</w:t>
      </w:r>
      <w:r>
        <w:rPr>
          <w:rFonts w:eastAsia="Times New Roman" w:cs="Times New Roman" w:ascii="Times New Roman" w:hAnsi="Times New Roman"/>
          <w:color w:val="111111"/>
          <w:sz w:val="24"/>
          <w:szCs w:val="24"/>
        </w:rPr>
        <w:t xml:space="preserve"> a que o somatório do faturamento bruto anual de todos os consorciados não ultrapasse o limite estipulado no art. 3°, II, da referida Lei, observado o disposto nos §§ 1º ao 3º do art. 4º, da Lei Federal nº. 14.133/2021.</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6.5. </w:t>
      </w:r>
      <w:r>
        <w:rPr>
          <w:rFonts w:eastAsia="Times New Roman" w:cs="Times New Roman" w:ascii="Times New Roman" w:hAnsi="Times New Roman"/>
          <w:color w:val="111111"/>
          <w:sz w:val="24"/>
          <w:szCs w:val="24"/>
        </w:rPr>
        <w:t>Os documentos exigidos para fins de habilitação deverão ser apresentados de forma legível, conforme exigido neste edital e Termo de Referência, no tocante à qualificação técnica.</w:t>
      </w:r>
    </w:p>
    <w:p>
      <w:pPr>
        <w:pStyle w:val="Normal"/>
        <w:keepLines w:val="false"/>
        <w:widowControl/>
        <w:spacing w:before="240" w:after="240"/>
        <w:jc w:val="both"/>
        <w:rPr>
          <w:color w:val="111111"/>
        </w:rPr>
      </w:pPr>
      <w:sdt>
        <w:sdtPr>
          <w:tag w:val="goog_rdk_1"/>
          <w:id w:val="955330167"/>
        </w:sdtPr>
        <w:sdtContent>
          <w:r>
            <w:rPr>
              <w:color w:val="111111"/>
            </w:rPr>
          </w:r>
          <w:r>
            <w:rPr>
              <w:color w:val="111111"/>
            </w:rPr>
          </w:r>
        </w:sdtContent>
      </w:sdt>
      <w:r>
        <w:rPr>
          <w:rFonts w:eastAsia="Times New Roman" w:cs="Times New Roman" w:ascii="Times New Roman" w:hAnsi="Times New Roman"/>
          <w:b/>
          <w:bCs/>
          <w:color w:val="111111"/>
          <w:sz w:val="24"/>
          <w:szCs w:val="24"/>
        </w:rPr>
        <w:t>6.5.1.</w:t>
      </w:r>
      <w:r>
        <w:rPr>
          <w:rFonts w:eastAsia="Times New Roman" w:cs="Times New Roman" w:ascii="Times New Roman" w:hAnsi="Times New Roman"/>
          <w:color w:val="111111"/>
          <w:sz w:val="24"/>
          <w:szCs w:val="24"/>
        </w:rPr>
        <w:t xml:space="preserve"> Se o licitante for a matriz, todos os documentos deverão estar em nome da matriz, e, se o licitante for a filial, todos os documentos deverão estar em nome da filial, exceto os atestados de capacidade técnica, os documentos relativos à qualificação econômico-financeira e aqueles que, por sua própria natureza, comprovadamente, sejam emitidos somente em nome da matriz.</w:t>
      </w:r>
    </w:p>
    <w:p>
      <w:pPr>
        <w:pStyle w:val="Normal"/>
        <w:keepLines w:val="false"/>
        <w:widowControl/>
        <w:spacing w:before="240" w:after="240"/>
        <w:jc w:val="both"/>
        <w:rPr>
          <w:color w:val="111111"/>
        </w:rPr>
      </w:pPr>
      <w:r>
        <w:rPr>
          <w:rFonts w:eastAsia="Times New Roman" w:cs="Times New Roman" w:ascii="Times New Roman" w:hAnsi="Times New Roman"/>
          <w:b/>
          <w:bCs/>
          <w:color w:val="111111"/>
          <w:sz w:val="24"/>
          <w:szCs w:val="24"/>
        </w:rPr>
        <w:t>6.5.2.</w:t>
      </w:r>
      <w:r>
        <w:rPr>
          <w:rFonts w:eastAsia="Times New Roman" w:cs="Times New Roman" w:ascii="Times New Roman" w:hAnsi="Times New Roman"/>
          <w:color w:val="111111"/>
          <w:sz w:val="24"/>
          <w:szCs w:val="24"/>
        </w:rPr>
        <w:t xml:space="preserve"> Na hipótese de a matriz da empresa estar situada fora do território nacional, toda a documentação de habilitação exigida neste Edital deverá ser apresentada em nome da filial estabelecida no Brasil, que participará da licitação e será responsável pela execução do objeto contratual.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6.5.3. </w:t>
      </w:r>
      <w:r>
        <w:rPr>
          <w:rFonts w:eastAsia="Times New Roman" w:cs="Times New Roman" w:ascii="Times New Roman" w:hAnsi="Times New Roman"/>
          <w:color w:val="111111"/>
          <w:sz w:val="24"/>
          <w:szCs w:val="24"/>
        </w:rPr>
        <w:t>Na falta de consignação do prazo de validade nas certidões, serão consideradas válidas pelo prazo de 90 (noventa) dias contados da data de sua emissão.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6.6. </w:t>
      </w:r>
      <w:r>
        <w:rPr>
          <w:rFonts w:eastAsia="Times New Roman" w:cs="Times New Roman" w:ascii="Times New Roman" w:hAnsi="Times New Roman"/>
          <w:color w:val="111111"/>
          <w:sz w:val="24"/>
          <w:szCs w:val="24"/>
        </w:rPr>
        <w:t>É de responsabilidade da licitante conferir a exatidão dos seus dados cadastrais no PREGÃO ONLINE BANRISUL e mantê-los atualizados junto aos órgãos responsáveis pela informação, devendo proceder, imediatamente, à correção ou à alteração dos registros tão logo identifique incorreção ou aqueles se tornem desatualizados.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6.7.</w:t>
      </w:r>
      <w:r>
        <w:rPr>
          <w:rFonts w:eastAsia="Times New Roman" w:cs="Times New Roman" w:ascii="Times New Roman" w:hAnsi="Times New Roman"/>
          <w:color w:val="111111"/>
          <w:sz w:val="24"/>
          <w:szCs w:val="24"/>
        </w:rPr>
        <w:t xml:space="preserve"> A verificação pelo pregoeiro, em sítios eletrônicos oficiais de órgãos e entidades emissores de certidões constitui meio legal de prova, para fins de habilitação.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6.7.1. </w:t>
      </w:r>
      <w:r>
        <w:rPr>
          <w:rFonts w:eastAsia="Times New Roman" w:cs="Times New Roman" w:ascii="Times New Roman" w:hAnsi="Times New Roman"/>
          <w:color w:val="111111"/>
          <w:sz w:val="24"/>
          <w:szCs w:val="24"/>
        </w:rPr>
        <w:t>A verificação dos documentos somente será feita em relação à licitante arrematante.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6.8. </w:t>
      </w:r>
      <w:r>
        <w:rPr>
          <w:rFonts w:eastAsia="Times New Roman" w:cs="Times New Roman" w:ascii="Times New Roman" w:hAnsi="Times New Roman"/>
          <w:color w:val="111111"/>
          <w:sz w:val="24"/>
          <w:szCs w:val="24"/>
        </w:rPr>
        <w:t xml:space="preserve">Como condição prévia ao exame da documentação de habilitação do detentor da proposta classificada em primeiro lugar, </w:t>
      </w:r>
      <w:r>
        <w:rPr>
          <w:rFonts w:eastAsia="Times New Roman" w:cs="Times New Roman" w:ascii="Times New Roman" w:hAnsi="Times New Roman"/>
          <w:color w:val="111111"/>
          <w:sz w:val="24"/>
          <w:szCs w:val="24"/>
        </w:rPr>
        <w:t xml:space="preserve">o Pregoeiro verificará se o licitante atende às condições de participação no certame, conforme previsto no art. 14 da Lei Federal nº. 14.133/2021, legislação correlata e nos subitens </w:t>
      </w:r>
      <w:r>
        <w:rPr>
          <w:rFonts w:eastAsia="Times New Roman" w:cs="Times New Roman" w:ascii="Times New Roman" w:hAnsi="Times New Roman"/>
          <w:b/>
          <w:bCs/>
          <w:color w:val="111111"/>
          <w:sz w:val="24"/>
          <w:szCs w:val="24"/>
        </w:rPr>
        <w:t>2.10.</w:t>
      </w:r>
      <w:r>
        <w:rPr>
          <w:rFonts w:eastAsia="Times New Roman" w:cs="Times New Roman" w:ascii="Times New Roman" w:hAnsi="Times New Roman"/>
          <w:color w:val="111111"/>
          <w:sz w:val="24"/>
          <w:szCs w:val="24"/>
        </w:rPr>
        <w:t xml:space="preserve"> e </w:t>
      </w:r>
      <w:r>
        <w:rPr>
          <w:rFonts w:eastAsia="Times New Roman" w:cs="Times New Roman" w:ascii="Times New Roman" w:hAnsi="Times New Roman"/>
          <w:b/>
          <w:bCs/>
          <w:color w:val="111111"/>
          <w:sz w:val="24"/>
          <w:szCs w:val="24"/>
        </w:rPr>
        <w:t>3.9.</w:t>
      </w:r>
      <w:r>
        <w:rPr>
          <w:rFonts w:eastAsia="Times New Roman" w:cs="Times New Roman" w:ascii="Times New Roman" w:hAnsi="Times New Roman"/>
          <w:color w:val="111111"/>
          <w:sz w:val="24"/>
          <w:szCs w:val="24"/>
        </w:rPr>
        <w:t xml:space="preserve"> do edital, especialmente quanto à existência de sanção que impeça a participação no certame ou a futura contratação, mediante a consulta aos seguintes cadastros: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a)</w:t>
      </w:r>
      <w:r>
        <w:rPr>
          <w:rFonts w:eastAsia="Times New Roman" w:cs="Times New Roman" w:ascii="Times New Roman" w:hAnsi="Times New Roman"/>
          <w:color w:val="111111"/>
          <w:sz w:val="24"/>
          <w:szCs w:val="24"/>
        </w:rPr>
        <w:t xml:space="preserve"> Cadastro Nacional de Empresas Inidôneas e Suspensas – CEIS e Cadastro Nacional de Empresas Punidas - CNEP, mantidos pela Controladoria Geral da União (https://certidoes.cgu.gov.br/);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b)</w:t>
      </w:r>
      <w:r>
        <w:rPr>
          <w:rFonts w:eastAsia="Times New Roman" w:cs="Times New Roman" w:ascii="Times New Roman" w:hAnsi="Times New Roman"/>
          <w:color w:val="111111"/>
          <w:sz w:val="24"/>
          <w:szCs w:val="24"/>
        </w:rPr>
        <w:t xml:space="preserve"> Cadastro Nacional de Condenações Cíveis por Atos de Improbidade Administrativa, mantido pelo Conselho Nacional de Justiça (https://www.cnj.jus.br/improbidade_adm/consultar_requerido.php); </w:t>
      </w:r>
    </w:p>
    <w:p>
      <w:pPr>
        <w:pStyle w:val="Normal"/>
        <w:keepLines w:val="false"/>
        <w:widowControl/>
        <w:spacing w:before="288" w:after="288"/>
        <w:jc w:val="both"/>
        <w:rPr/>
      </w:pPr>
      <w:r>
        <w:rPr>
          <w:rFonts w:eastAsia="Times New Roman" w:cs="Times New Roman" w:ascii="Times New Roman" w:hAnsi="Times New Roman"/>
          <w:b/>
          <w:bCs/>
          <w:color w:val="111111"/>
          <w:sz w:val="24"/>
          <w:szCs w:val="24"/>
        </w:rPr>
        <w:t>c)</w:t>
      </w:r>
      <w:r>
        <w:rPr>
          <w:rFonts w:eastAsia="Times New Roman" w:cs="Times New Roman" w:ascii="Times New Roman" w:hAnsi="Times New Roman"/>
          <w:color w:val="111111"/>
          <w:sz w:val="24"/>
          <w:szCs w:val="24"/>
        </w:rPr>
        <w:t xml:space="preserve"> Lista de Inidôneos, mantida pelo Tribunal de Contas da União – TCU (</w:t>
      </w:r>
      <w:hyperlink r:id="rId7">
        <w:r>
          <w:rPr>
            <w:rStyle w:val="Style3"/>
            <w:rFonts w:eastAsia="Times New Roman" w:cs="Times New Roman" w:ascii="Times New Roman" w:hAnsi="Times New Roman"/>
            <w:color w:val="111111"/>
            <w:sz w:val="24"/>
            <w:szCs w:val="24"/>
            <w:highlight w:val="white"/>
            <w:u w:val="single"/>
          </w:rPr>
          <w:t>https://contas.tcu.gov.br/ords/f?p=1660:3:16627039811290::::P3_TIPO_RELACAO:INIDONEO</w:t>
        </w:r>
      </w:hyperlink>
      <w:r>
        <w:rPr>
          <w:rFonts w:eastAsia="Times New Roman" w:cs="Times New Roman" w:ascii="Times New Roman" w:hAnsi="Times New Roman"/>
          <w:color w:val="111111"/>
          <w:sz w:val="24"/>
          <w:szCs w:val="24"/>
        </w:rPr>
        <w:t>).</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6.8.1. </w:t>
      </w:r>
      <w:r>
        <w:rPr>
          <w:rFonts w:eastAsia="Times New Roman" w:cs="Times New Roman" w:ascii="Times New Roman" w:hAnsi="Times New Roman"/>
          <w:color w:val="111111"/>
          <w:sz w:val="24"/>
          <w:szCs w:val="24"/>
        </w:rPr>
        <w:t xml:space="preserve">Para a consulta de pessoa jurídica poderá haver a substituição das consultas das alíneas “a”, “b” e “c” acima pela Consulta Consolidada de Pessoa Jurídica do TCU (https://certidoes-apf.apps.tcu.gov.br/).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6.8.2. </w:t>
      </w:r>
      <w:r>
        <w:rPr>
          <w:rFonts w:eastAsia="Times New Roman" w:cs="Times New Roman" w:ascii="Times New Roman" w:hAnsi="Times New Roman"/>
          <w:color w:val="111111"/>
          <w:sz w:val="24"/>
          <w:szCs w:val="24"/>
        </w:rPr>
        <w:t>A consulta aos cadastros será realizada em nome da empresa licitante e também de seu(s) sócio(s) majoritário, por força da vedação de que trata o artigo 12 da Lei Federal n°. 8.429, de 02 de junho de 1992.</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6.8.3. </w:t>
      </w:r>
      <w:r>
        <w:rPr>
          <w:rFonts w:eastAsia="Times New Roman" w:cs="Times New Roman" w:ascii="Times New Roman" w:hAnsi="Times New Roman"/>
          <w:color w:val="111111"/>
          <w:sz w:val="24"/>
          <w:szCs w:val="24"/>
        </w:rPr>
        <w:t>Caso conste na Consulta de Situação da licitante a existência de Ocorrências Impeditivas Indiretas, o Pregoeiro diligenciará para verificar se houve fraude por parte das empresas apontadas no Relatório de Ocorrências Impeditivas Indiretas. (IN nº 3/2018, art. 29, caput).</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6.8.4. </w:t>
      </w:r>
      <w:r>
        <w:rPr>
          <w:rFonts w:eastAsia="Times New Roman" w:cs="Times New Roman" w:ascii="Times New Roman" w:hAnsi="Times New Roman"/>
          <w:color w:val="111111"/>
          <w:sz w:val="24"/>
          <w:szCs w:val="24"/>
        </w:rPr>
        <w:t>A tentativa de burla será verificada por meio dos vínculos societários, linhas de fornecimento similares, dentre outros. (IN nº 3/2018, art. 29, §1º).</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6.8.5. </w:t>
      </w:r>
      <w:r>
        <w:rPr>
          <w:rFonts w:eastAsia="Times New Roman" w:cs="Times New Roman" w:ascii="Times New Roman" w:hAnsi="Times New Roman"/>
          <w:color w:val="111111"/>
          <w:sz w:val="24"/>
          <w:szCs w:val="24"/>
        </w:rPr>
        <w:t>O licitante será convocado para manifestação previamente a uma eventual inabilitação. (IN nº 3/2018, art. 29, §2º).</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6.8.6. </w:t>
      </w:r>
      <w:r>
        <w:rPr>
          <w:rFonts w:eastAsia="Times New Roman" w:cs="Times New Roman" w:ascii="Times New Roman" w:hAnsi="Times New Roman"/>
          <w:color w:val="111111"/>
          <w:sz w:val="24"/>
          <w:szCs w:val="24"/>
        </w:rPr>
        <w:t>Constatada a existência de sanção, o licitante será reputado inabilitado, por falta de condição de participação.</w:t>
      </w:r>
    </w:p>
    <w:p>
      <w:pPr>
        <w:pStyle w:val="Normal"/>
        <w:keepLines w:val="false"/>
        <w:widowControl/>
        <w:spacing w:before="288" w:after="288"/>
        <w:jc w:val="both"/>
        <w:rPr/>
      </w:pPr>
      <w:r>
        <w:rPr>
          <w:rFonts w:eastAsia="Times New Roman" w:cs="Times New Roman" w:ascii="Times New Roman" w:hAnsi="Times New Roman"/>
          <w:b/>
          <w:bCs/>
          <w:color w:val="111111"/>
          <w:sz w:val="24"/>
          <w:szCs w:val="24"/>
        </w:rPr>
        <w:t xml:space="preserve">6.9. </w:t>
      </w:r>
      <w:r>
        <w:rPr>
          <w:rFonts w:eastAsia="Times New Roman" w:cs="Times New Roman" w:ascii="Times New Roman" w:hAnsi="Times New Roman"/>
          <w:color w:val="111111"/>
          <w:sz w:val="24"/>
          <w:szCs w:val="24"/>
        </w:rPr>
        <w:t>Após a entrega dos documentos para habilitação, não será permitida a substituição ou a apresentação de novos documentos, salvo em sede de diligência, para (Lei Federal n.º 14.133/2021, art. 64, e</w:t>
      </w:r>
      <w:hyperlink r:id="rId8">
        <w:r>
          <w:rPr>
            <w:rStyle w:val="Style3"/>
            <w:rFonts w:eastAsia="Times New Roman" w:cs="Times New Roman" w:ascii="Times New Roman" w:hAnsi="Times New Roman"/>
            <w:color w:val="111111"/>
            <w:sz w:val="24"/>
            <w:szCs w:val="24"/>
          </w:rPr>
          <w:t xml:space="preserve"> </w:t>
        </w:r>
      </w:hyperlink>
      <w:hyperlink r:id="rId9">
        <w:r>
          <w:rPr>
            <w:rStyle w:val="Style3"/>
            <w:rFonts w:eastAsia="Times New Roman" w:cs="Times New Roman" w:ascii="Times New Roman" w:hAnsi="Times New Roman"/>
            <w:color w:val="111111"/>
            <w:sz w:val="24"/>
            <w:szCs w:val="24"/>
            <w:u w:val="single"/>
          </w:rPr>
          <w:t>IN 73/2022, art. 39, §4º</w:t>
        </w:r>
      </w:hyperlink>
      <w:r>
        <w:rPr>
          <w:rFonts w:eastAsia="Times New Roman" w:cs="Times New Roman" w:ascii="Times New Roman" w:hAnsi="Times New Roman"/>
          <w:color w:val="111111"/>
          <w:sz w:val="24"/>
          <w:szCs w:val="24"/>
        </w:rPr>
        <w:t>):</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a)</w:t>
      </w:r>
      <w:r>
        <w:rPr>
          <w:rFonts w:eastAsia="Times New Roman" w:cs="Times New Roman" w:ascii="Times New Roman" w:hAnsi="Times New Roman"/>
          <w:color w:val="111111"/>
          <w:sz w:val="24"/>
          <w:szCs w:val="24"/>
        </w:rPr>
        <w:t xml:space="preserve"> complementação de informações acerca dos documentos já apresentados pelas licitantes e desde que necessária para apurar fatos existentes à época da abertura da sessão pública; 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b) </w:t>
      </w:r>
      <w:r>
        <w:rPr>
          <w:rFonts w:eastAsia="Times New Roman" w:cs="Times New Roman" w:ascii="Times New Roman" w:hAnsi="Times New Roman"/>
          <w:color w:val="111111"/>
          <w:sz w:val="24"/>
          <w:szCs w:val="24"/>
        </w:rPr>
        <w:t>atualização de documentos cuja validade tenha expirado após a data de recebimento das propostas;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c)</w:t>
      </w:r>
      <w:r>
        <w:rPr>
          <w:rFonts w:eastAsia="Times New Roman" w:cs="Times New Roman" w:ascii="Times New Roman" w:hAnsi="Times New Roman"/>
          <w:color w:val="111111"/>
          <w:sz w:val="24"/>
          <w:szCs w:val="24"/>
        </w:rPr>
        <w:t xml:space="preserve"> nos termos do Acórdão 1211/21-Plenário – TCU, ao licitante que, por equívoco ou falha, deixar de incluir documento, não o juntando com os demais comprovantes de habilitação e proposta, será oportunizado apresentar o documento ausente comprobatório, </w:t>
      </w:r>
      <w:r>
        <w:rPr>
          <w:rFonts w:eastAsia="Times New Roman" w:cs="Times New Roman" w:ascii="Times New Roman" w:hAnsi="Times New Roman"/>
          <w:color w:val="111111"/>
          <w:sz w:val="24"/>
          <w:szCs w:val="24"/>
          <w:highlight w:val="white"/>
        </w:rPr>
        <w:t>o qual será solicitado e avaliado pelo Pregoeiro.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6.9.1.</w:t>
      </w:r>
      <w:r>
        <w:rPr>
          <w:rFonts w:eastAsia="Times New Roman" w:cs="Times New Roman" w:ascii="Times New Roman" w:hAnsi="Times New Roman"/>
          <w:color w:val="111111"/>
          <w:sz w:val="24"/>
          <w:szCs w:val="24"/>
          <w:highlight w:val="white"/>
        </w:rPr>
        <w:t xml:space="preserve"> A condição estipulada no item supra não exime o licitante de apresentar toda a documentação solicitada no ato convocatório e somente servirá para sanar a falta de apresentação quando comprovada que a condição já se encontrava atendida em momento anterior à diligência.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 xml:space="preserve">6.9.2. </w:t>
      </w:r>
      <w:r>
        <w:rPr>
          <w:rFonts w:eastAsia="Times New Roman" w:cs="Times New Roman" w:ascii="Times New Roman" w:hAnsi="Times New Roman"/>
          <w:color w:val="111111"/>
          <w:sz w:val="24"/>
          <w:szCs w:val="24"/>
          <w:highlight w:val="white"/>
        </w:rPr>
        <w:t xml:space="preserve">Constatada a situação acima referida, o Pregoeiro notificará o licitante para que efetue a regularização dos documentos em campo próprio no sistema eletrônico, no prazo máximo de 1 (um) dia útil a contar da notificação.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 xml:space="preserve">6.10. </w:t>
      </w:r>
      <w:r>
        <w:rPr>
          <w:rFonts w:eastAsia="Times New Roman" w:cs="Times New Roman" w:ascii="Times New Roman" w:hAnsi="Times New Roman"/>
          <w:color w:val="111111"/>
          <w:sz w:val="24"/>
          <w:szCs w:val="24"/>
          <w:highlight w:val="white"/>
        </w:rPr>
        <w:t>Na análise dos documentos de habilitação, o agente ou a comissão de contratação poderá sanar erros ou falhas, que não alterem a substância dos documentos e sua validade jurídica, mediante decisão fundamentada, registrada em ata e acessível a todos, atribuindo-lhes eﬁcácia para fins de habilitação e classificação.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 xml:space="preserve">6.11. </w:t>
      </w:r>
      <w:r>
        <w:rPr>
          <w:rFonts w:eastAsia="Times New Roman" w:cs="Times New Roman" w:ascii="Times New Roman" w:hAnsi="Times New Roman"/>
          <w:color w:val="111111"/>
          <w:sz w:val="24"/>
          <w:szCs w:val="24"/>
          <w:highlight w:val="white"/>
        </w:rPr>
        <w:t>Na hipótese de o licitante não atender às exigências para habilitação, o Pregoeiro examinará a proposta subsequente e assim sucessivamente, na ordem de classificação, até a apuração de uma proposta que atenda ao presente edital.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 xml:space="preserve">6.12. </w:t>
      </w:r>
      <w:r>
        <w:rPr>
          <w:rFonts w:eastAsia="Times New Roman" w:cs="Times New Roman" w:ascii="Times New Roman" w:hAnsi="Times New Roman"/>
          <w:color w:val="111111"/>
          <w:sz w:val="24"/>
          <w:szCs w:val="24"/>
          <w:highlight w:val="white"/>
        </w:rPr>
        <w:t>Somente serão disponibilizados para acesso público os documentos de habilitação da licitante cuja proposta atenda ao edital de licitação, após concluídos os procedimentos de que trata o subitem anterior.</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 xml:space="preserve">6.13. </w:t>
      </w:r>
      <w:r>
        <w:rPr>
          <w:rFonts w:eastAsia="Times New Roman" w:cs="Times New Roman" w:ascii="Times New Roman" w:hAnsi="Times New Roman"/>
          <w:color w:val="111111"/>
          <w:sz w:val="24"/>
          <w:szCs w:val="24"/>
          <w:highlight w:val="white"/>
        </w:rPr>
        <w:t xml:space="preserve">Quando a fase de habilitação anteceder a de julgamento e já tiver sido encerrada, não caberá exclusão de licitante por motivo relacionado à habilitação, salvo em razão de fatos supervenientes ou só conhecidos após o julgamento. </w:t>
      </w:r>
    </w:p>
    <w:p>
      <w:pPr>
        <w:pStyle w:val="Normal"/>
        <w:widowControl/>
        <w:spacing w:before="288" w:after="288"/>
        <w:jc w:val="both"/>
        <w:rPr>
          <w:color w:val="111111"/>
        </w:rPr>
      </w:pPr>
      <w:r>
        <w:rPr>
          <w:rFonts w:eastAsia="Times New Roman" w:cs="Times New Roman" w:ascii="Times New Roman" w:hAnsi="Times New Roman"/>
          <w:b/>
          <w:bCs/>
          <w:color w:val="111111"/>
          <w:sz w:val="24"/>
          <w:szCs w:val="24"/>
        </w:rPr>
        <w:t>6.14.</w:t>
      </w:r>
      <w:r>
        <w:rPr>
          <w:rFonts w:eastAsia="Times New Roman" w:cs="Times New Roman" w:ascii="Times New Roman" w:hAnsi="Times New Roman"/>
          <w:color w:val="111111"/>
          <w:sz w:val="24"/>
          <w:szCs w:val="24"/>
        </w:rPr>
        <w:t xml:space="preserve"> A comprovação de regularidade fiscal, trabalhista ou social das microempresas e empresas de pequeno porte somente será exigida para efeito de contratação e, não como condição para participação na licitação (art. 8º do Decreto Municipal 110/2024).</w:t>
      </w:r>
    </w:p>
    <w:p>
      <w:pPr>
        <w:pStyle w:val="Normal"/>
        <w:widowControl/>
        <w:spacing w:before="288" w:after="288"/>
        <w:jc w:val="both"/>
        <w:rPr>
          <w:color w:val="111111"/>
        </w:rPr>
      </w:pPr>
      <w:r>
        <w:rPr>
          <w:rFonts w:eastAsia="Times New Roman" w:cs="Times New Roman" w:ascii="Times New Roman" w:hAnsi="Times New Roman"/>
          <w:b/>
          <w:bCs/>
          <w:color w:val="111111"/>
          <w:sz w:val="24"/>
          <w:szCs w:val="24"/>
        </w:rPr>
        <w:t>6.14.1.</w:t>
      </w:r>
      <w:r>
        <w:rPr>
          <w:rFonts w:eastAsia="Times New Roman" w:cs="Times New Roman" w:ascii="Times New Roman" w:hAnsi="Times New Roman"/>
          <w:color w:val="111111"/>
          <w:sz w:val="24"/>
          <w:szCs w:val="24"/>
        </w:rPr>
        <w:t xml:space="preserve"> Na hipótese de haver alguma restrição relativa à regularidade fiscal, trabalhista ou social será assegurado prazo de 5 (cinco) dias úteis, prorrogável por igual período, para a regularização da documentação, a realização do pagamento ou parcelamento do débito e a emissão de eventuais certidões negativas ou positivas com efeito de negativa.</w:t>
      </w:r>
    </w:p>
    <w:p>
      <w:pPr>
        <w:pStyle w:val="Normal"/>
        <w:widowControl/>
        <w:spacing w:before="288" w:after="288"/>
        <w:jc w:val="both"/>
        <w:rPr>
          <w:color w:val="111111"/>
        </w:rPr>
      </w:pPr>
      <w:r>
        <w:rPr>
          <w:rFonts w:eastAsia="Times New Roman" w:cs="Times New Roman" w:ascii="Times New Roman" w:hAnsi="Times New Roman"/>
          <w:b/>
          <w:bCs/>
          <w:color w:val="111111"/>
          <w:sz w:val="24"/>
          <w:szCs w:val="24"/>
        </w:rPr>
        <w:t>6.14.2.</w:t>
      </w:r>
      <w:r>
        <w:rPr>
          <w:rFonts w:eastAsia="Times New Roman" w:cs="Times New Roman" w:ascii="Times New Roman" w:hAnsi="Times New Roman"/>
          <w:color w:val="111111"/>
          <w:sz w:val="24"/>
          <w:szCs w:val="24"/>
        </w:rPr>
        <w:t xml:space="preserve"> Para aplicação do disposto no subitem anterior, o prazo para regularização fiscal, trabalhista ou social será contado a partir do momento em que o proponente for declarado vencedor do certame.</w:t>
      </w:r>
    </w:p>
    <w:p>
      <w:pPr>
        <w:pStyle w:val="Normal"/>
        <w:widowControl/>
        <w:spacing w:before="288" w:after="288"/>
        <w:jc w:val="both"/>
        <w:rPr>
          <w:color w:val="111111"/>
        </w:rPr>
      </w:pPr>
      <w:r>
        <w:rPr>
          <w:rFonts w:eastAsia="Times New Roman" w:cs="Times New Roman" w:ascii="Times New Roman" w:hAnsi="Times New Roman"/>
          <w:b/>
          <w:bCs/>
          <w:color w:val="111111"/>
          <w:sz w:val="24"/>
          <w:szCs w:val="24"/>
        </w:rPr>
        <w:t>6.14.3</w:t>
      </w:r>
      <w:r>
        <w:rPr>
          <w:rFonts w:eastAsia="Times New Roman" w:cs="Times New Roman" w:ascii="Times New Roman" w:hAnsi="Times New Roman"/>
          <w:color w:val="111111"/>
          <w:sz w:val="24"/>
          <w:szCs w:val="24"/>
        </w:rPr>
        <w:t>. A prorrogação do prazo previsto no subitem 6.14.1 poderá ser concedida, a critério da administração, quando requerida pelo licitante, mediante apresentação de justificativa encaminhada dentro do prazo original.</w:t>
      </w:r>
    </w:p>
    <w:p>
      <w:pPr>
        <w:pStyle w:val="Normal"/>
        <w:widowControl/>
        <w:spacing w:before="288" w:after="288"/>
        <w:jc w:val="both"/>
        <w:rPr>
          <w:color w:val="111111"/>
        </w:rPr>
      </w:pPr>
      <w:r>
        <w:rPr>
          <w:rFonts w:eastAsia="Times New Roman" w:cs="Times New Roman" w:ascii="Times New Roman" w:hAnsi="Times New Roman"/>
          <w:b/>
          <w:bCs/>
          <w:color w:val="111111"/>
          <w:sz w:val="24"/>
          <w:szCs w:val="24"/>
        </w:rPr>
        <w:t>6.14.4.</w:t>
      </w:r>
      <w:r>
        <w:rPr>
          <w:rFonts w:eastAsia="Times New Roman" w:cs="Times New Roman" w:ascii="Times New Roman" w:hAnsi="Times New Roman"/>
          <w:color w:val="111111"/>
          <w:sz w:val="24"/>
          <w:szCs w:val="24"/>
        </w:rPr>
        <w:t xml:space="preserve"> A abertura da fase recursal em relação ao resultado do certame ocorrerá após os prazos de regularização de que tratam os subitens anteriores.            </w:t>
      </w:r>
    </w:p>
    <w:p>
      <w:pPr>
        <w:pStyle w:val="Heading1"/>
        <w:rPr>
          <w:color w:val="111111"/>
        </w:rPr>
      </w:pPr>
      <w:r>
        <w:rPr>
          <w:color w:val="111111"/>
        </w:rPr>
        <w:t>7. DOS RECURSOS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7.1. </w:t>
      </w:r>
      <w:r>
        <w:rPr>
          <w:rFonts w:eastAsia="Times New Roman" w:cs="Times New Roman" w:ascii="Times New Roman" w:hAnsi="Times New Roman"/>
          <w:color w:val="111111"/>
          <w:sz w:val="24"/>
          <w:szCs w:val="24"/>
        </w:rPr>
        <w:t>A interposição de recurso referente ao julgamento das propostas, à habilitação ou inabilitação de licitantes, à anulação ou revogação da licitação, observará o disposto no art. 165 da Lei Federal n.º 14.133/2021.</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7.2.</w:t>
      </w:r>
      <w:r>
        <w:rPr>
          <w:rFonts w:eastAsia="Times New Roman" w:cs="Times New Roman" w:ascii="Times New Roman" w:hAnsi="Times New Roman"/>
          <w:color w:val="111111"/>
          <w:sz w:val="24"/>
          <w:szCs w:val="24"/>
        </w:rPr>
        <w:t xml:space="preserve"> O prazo recursal é de 3 (três) dias úteis, contados da data de intimação ou de lavratura da ata.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7.3.</w:t>
      </w:r>
      <w:r>
        <w:rPr>
          <w:rFonts w:eastAsia="Times New Roman" w:cs="Times New Roman" w:ascii="Times New Roman" w:hAnsi="Times New Roman"/>
          <w:color w:val="111111"/>
          <w:sz w:val="24"/>
          <w:szCs w:val="24"/>
        </w:rPr>
        <w:t xml:space="preserve"> Quando o recurso apresentado impugnar o julgamento das propostas ou o ato de habilitação ou inabilitação da licitante: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a)</w:t>
      </w:r>
      <w:r>
        <w:rPr>
          <w:rFonts w:eastAsia="Times New Roman" w:cs="Times New Roman" w:ascii="Times New Roman" w:hAnsi="Times New Roman"/>
          <w:color w:val="111111"/>
          <w:sz w:val="24"/>
          <w:szCs w:val="24"/>
        </w:rPr>
        <w:t xml:space="preserve"> a intenção de recorrer deverá ser manifestada em até 10 (dez) minutos, em campo próprio do sistema, sob pena de preclusão, em todos os casos, após o julgamento de proposta, nos casos de classificação e desclassificação, e de julgamento de documentos, nos casos de inabilitação e habilitação, sendo que o prazo para apresentação das razões recursais será iniciado na data de intimação ou de lavratura da ata de habilitação ou inabilitação;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b)</w:t>
      </w:r>
      <w:r>
        <w:rPr>
          <w:rFonts w:eastAsia="Times New Roman" w:cs="Times New Roman" w:ascii="Times New Roman" w:hAnsi="Times New Roman"/>
          <w:color w:val="111111"/>
          <w:sz w:val="24"/>
          <w:szCs w:val="24"/>
        </w:rPr>
        <w:t xml:space="preserve"> a apreciação dar-se-á em fase única; </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c)</w:t>
      </w:r>
      <w:r>
        <w:rPr>
          <w:rFonts w:eastAsia="Times New Roman" w:cs="Times New Roman" w:ascii="Times New Roman" w:hAnsi="Times New Roman"/>
          <w:color w:val="111111"/>
          <w:sz w:val="24"/>
          <w:szCs w:val="24"/>
        </w:rPr>
        <w:t xml:space="preserve"> o prazo para apresentação das razões recursais será iniciado na data de intimação ou de lavratura da ata de habilitação ou inabilitação;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d)</w:t>
      </w:r>
      <w:r>
        <w:rPr>
          <w:rFonts w:eastAsia="Times New Roman" w:cs="Times New Roman" w:ascii="Times New Roman" w:hAnsi="Times New Roman"/>
          <w:color w:val="111111"/>
          <w:sz w:val="24"/>
          <w:szCs w:val="24"/>
        </w:rPr>
        <w:t xml:space="preserve"> na hipótese de adoção da inversão de fases prevista no § 1º do art. 17 da Lei Federal n.º 14.133/2021, o prazo para apresentação das razões recursais será iniciado na data de intimação da ata de julgamento.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7.4. </w:t>
      </w:r>
      <w:r>
        <w:rPr>
          <w:rFonts w:eastAsia="Times New Roman" w:cs="Times New Roman" w:ascii="Times New Roman" w:hAnsi="Times New Roman"/>
          <w:color w:val="111111"/>
          <w:sz w:val="24"/>
          <w:szCs w:val="24"/>
        </w:rPr>
        <w:t>Os recursos deverão ser encaminhados em campo próprio do sistema.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7.5. </w:t>
      </w:r>
      <w:r>
        <w:rPr>
          <w:rFonts w:eastAsia="Times New Roman" w:cs="Times New Roman" w:ascii="Times New Roman" w:hAnsi="Times New Roman"/>
          <w:color w:val="111111"/>
          <w:sz w:val="24"/>
          <w:szCs w:val="24"/>
        </w:rPr>
        <w:t>O prazo para apresentação de contrarrazões ao recurso pelas demais licitantes será de 3 (três) dias úteis, contados da data da intimação pessoal ou da divulgação da interposição do recurso, assegurada à vista imediata dos elementos indispensáveis à defesa de seus interesses.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7.6. </w:t>
      </w:r>
      <w:r>
        <w:rPr>
          <w:rFonts w:eastAsia="Times New Roman" w:cs="Times New Roman" w:ascii="Times New Roman" w:hAnsi="Times New Roman"/>
          <w:color w:val="111111"/>
          <w:sz w:val="24"/>
          <w:szCs w:val="24"/>
        </w:rPr>
        <w:t>Os recursos interpostos fora do prazo não serão conhecidos.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7.7.</w:t>
      </w:r>
      <w:r>
        <w:rPr>
          <w:rFonts w:eastAsia="Times New Roman" w:cs="Times New Roman" w:ascii="Times New Roman" w:hAnsi="Times New Roman"/>
          <w:color w:val="111111"/>
          <w:sz w:val="24"/>
          <w:szCs w:val="24"/>
        </w:rPr>
        <w:t xml:space="preserve"> Não será admitida a intenção de recurso genérica, assim entendida como aquela que não descreve minimamente a irregularidade cometida pelo pregoeiro ou por licitante.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7.8. </w:t>
      </w:r>
      <w:r>
        <w:rPr>
          <w:rFonts w:eastAsia="Times New Roman" w:cs="Times New Roman" w:ascii="Times New Roman" w:hAnsi="Times New Roman"/>
          <w:color w:val="111111"/>
          <w:sz w:val="24"/>
          <w:szCs w:val="24"/>
        </w:rPr>
        <w:t>Não serão conhecidos recursos cujas intenções não demonstrem o atendimento aos pressupostos recursais da sucumbência, tempestividade, legitimidade, interesse e motivação.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7.9. </w:t>
      </w:r>
      <w:r>
        <w:rPr>
          <w:rFonts w:eastAsia="Times New Roman" w:cs="Times New Roman" w:ascii="Times New Roman" w:hAnsi="Times New Roman"/>
          <w:color w:val="111111"/>
          <w:sz w:val="24"/>
          <w:szCs w:val="24"/>
        </w:rPr>
        <w:t>O recurso e o pedido de reconsideração terão efeito suspensivo do ato ou da decisão recorrida até que sobrevenha decisão final da autoridade competente.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7.10.</w:t>
      </w:r>
      <w:r>
        <w:rPr>
          <w:rFonts w:eastAsia="Times New Roman" w:cs="Times New Roman" w:ascii="Times New Roman" w:hAnsi="Times New Roman"/>
          <w:color w:val="111111"/>
          <w:sz w:val="24"/>
          <w:szCs w:val="24"/>
        </w:rPr>
        <w:t xml:space="preserve"> O acolhimento do recurso invalida tão somente os atos insuscetíveis de aproveitamento.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7.11. </w:t>
      </w:r>
      <w:r>
        <w:rPr>
          <w:rFonts w:eastAsia="Times New Roman" w:cs="Times New Roman" w:ascii="Times New Roman" w:hAnsi="Times New Roman"/>
          <w:color w:val="111111"/>
          <w:sz w:val="24"/>
          <w:szCs w:val="24"/>
        </w:rP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pPr>
        <w:pStyle w:val="Heading1"/>
        <w:rPr>
          <w:color w:val="111111"/>
        </w:rPr>
      </w:pPr>
      <w:sdt>
        <w:sdtPr>
          <w:tag w:val="goog_rdk_2"/>
          <w:id w:val="398980890"/>
        </w:sdtPr>
        <w:sdtContent>
          <w:r>
            <w:rPr>
              <w:color w:val="111111"/>
            </w:rPr>
          </w:r>
          <w:r>
            <w:rPr>
              <w:color w:val="111111"/>
            </w:rPr>
          </w:r>
        </w:sdtContent>
      </w:sdt>
      <w:r>
        <w:rPr>
          <w:color w:val="111111"/>
        </w:rPr>
        <w:t>8. DAS SANÇÕES</w:t>
      </w:r>
    </w:p>
    <w:p>
      <w:pPr>
        <w:pStyle w:val="Normal"/>
        <w:keepLines w:val="false"/>
        <w:widowControl/>
        <w:spacing w:before="280" w:after="280"/>
        <w:jc w:val="both"/>
        <w:rPr>
          <w:color w:val="111111"/>
        </w:rPr>
      </w:pPr>
      <w:r>
        <w:rPr>
          <w:rFonts w:eastAsia="Times New Roman" w:cs="Times New Roman" w:ascii="Times New Roman" w:hAnsi="Times New Roman"/>
          <w:b/>
          <w:bCs/>
          <w:color w:val="111111"/>
          <w:sz w:val="24"/>
          <w:szCs w:val="24"/>
        </w:rPr>
        <w:t xml:space="preserve">8.1. </w:t>
      </w:r>
      <w:r>
        <w:rPr>
          <w:rFonts w:eastAsia="Times New Roman" w:cs="Times New Roman" w:ascii="Times New Roman" w:hAnsi="Times New Roman"/>
          <w:color w:val="111111"/>
          <w:sz w:val="24"/>
          <w:szCs w:val="24"/>
        </w:rPr>
        <w:t>Ao fornecedor responsável pelas infrações administrativas dispostas no art. 155 da Lei Federal nº 14.133, de 2021, poderão ser aplicadas as seguintes sanções:</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I – advertência;</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II – multa;</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a) compensatória; e</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b) de mora.</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III – impedimento de licitar e contratar;</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IV – declaração de inidoneidade para licitar ou contratar.</w:t>
      </w:r>
    </w:p>
    <w:p>
      <w:pPr>
        <w:pStyle w:val="Normal"/>
        <w:keepLines w:val="false"/>
        <w:widowControl/>
        <w:spacing w:before="280" w:after="280"/>
        <w:jc w:val="both"/>
        <w:rPr>
          <w:color w:val="111111"/>
        </w:rPr>
      </w:pPr>
      <w:r>
        <w:rPr>
          <w:rFonts w:eastAsia="Times New Roman" w:cs="Times New Roman" w:ascii="Times New Roman" w:hAnsi="Times New Roman"/>
          <w:b/>
          <w:bCs/>
          <w:color w:val="111111"/>
          <w:sz w:val="24"/>
          <w:szCs w:val="24"/>
        </w:rPr>
        <w:t xml:space="preserve">8.1.1. </w:t>
      </w:r>
      <w:r>
        <w:rPr>
          <w:rFonts w:eastAsia="Times New Roman" w:cs="Times New Roman" w:ascii="Times New Roman" w:hAnsi="Times New Roman"/>
          <w:color w:val="111111"/>
          <w:sz w:val="24"/>
          <w:szCs w:val="24"/>
        </w:rPr>
        <w:t xml:space="preserve">As sanções previstas nos incisos I, III e IV do item 8.1. poderão ser aplicadas cumulativamente com a prevista no inciso II, alínea “a”. </w:t>
      </w:r>
    </w:p>
    <w:p>
      <w:pPr>
        <w:pStyle w:val="Normal"/>
        <w:keepLines w:val="false"/>
        <w:widowControl/>
        <w:spacing w:before="280" w:after="280"/>
        <w:jc w:val="both"/>
        <w:rPr>
          <w:color w:val="111111"/>
        </w:rPr>
      </w:pPr>
      <w:r>
        <w:rPr>
          <w:rFonts w:eastAsia="Times New Roman" w:cs="Times New Roman" w:ascii="Times New Roman" w:hAnsi="Times New Roman"/>
          <w:b/>
          <w:bCs/>
          <w:color w:val="111111"/>
          <w:sz w:val="24"/>
          <w:szCs w:val="24"/>
        </w:rPr>
        <w:t>8.1.2.</w:t>
      </w:r>
      <w:r>
        <w:rPr>
          <w:rFonts w:eastAsia="Times New Roman" w:cs="Times New Roman" w:ascii="Times New Roman" w:hAnsi="Times New Roman"/>
          <w:b/>
          <w:bCs/>
          <w:color w:val="111111"/>
          <w:sz w:val="24"/>
          <w:szCs w:val="24"/>
        </w:rPr>
        <w:t xml:space="preserve"> </w:t>
      </w:r>
      <w:r>
        <w:rPr>
          <w:rFonts w:eastAsia="Times New Roman" w:cs="Times New Roman" w:ascii="Times New Roman" w:hAnsi="Times New Roman"/>
          <w:color w:val="111111"/>
          <w:sz w:val="24"/>
          <w:szCs w:val="24"/>
        </w:rPr>
        <w:t>A sanção de advertência somente poderá ser aplicada de forma isolada em hipóteses de inexistência de prejuízo ao erário, ao funcionamento dos serviços públicos ou aos munícipes, ainda que indiretamente.</w:t>
      </w:r>
    </w:p>
    <w:p>
      <w:pPr>
        <w:pStyle w:val="Normal"/>
        <w:keepLines w:val="false"/>
        <w:widowControl/>
        <w:spacing w:before="280" w:after="280"/>
        <w:jc w:val="both"/>
        <w:rPr>
          <w:color w:val="111111"/>
        </w:rPr>
      </w:pPr>
      <w:r>
        <w:rPr>
          <w:rFonts w:eastAsia="Times New Roman" w:cs="Times New Roman" w:ascii="Times New Roman" w:hAnsi="Times New Roman"/>
          <w:b/>
          <w:bCs/>
          <w:color w:val="111111"/>
          <w:sz w:val="24"/>
          <w:szCs w:val="24"/>
        </w:rPr>
        <w:t xml:space="preserve">8.1.3 </w:t>
      </w:r>
      <w:r>
        <w:rPr>
          <w:rFonts w:eastAsia="Times New Roman" w:cs="Times New Roman" w:ascii="Times New Roman" w:hAnsi="Times New Roman"/>
          <w:color w:val="111111"/>
          <w:sz w:val="24"/>
          <w:szCs w:val="24"/>
        </w:rPr>
        <w:t>A advertência não poderá ser aplicada de forma isolada quando o fornecedor for reincidente.</w:t>
      </w:r>
    </w:p>
    <w:p>
      <w:pPr>
        <w:pStyle w:val="Normal"/>
        <w:keepLines w:val="false"/>
        <w:widowControl/>
        <w:spacing w:before="120" w:after="120"/>
        <w:jc w:val="both"/>
        <w:rPr/>
      </w:pPr>
      <w:r>
        <w:rPr>
          <w:rFonts w:eastAsia="Times New Roman" w:cs="Times New Roman" w:ascii="Times New Roman" w:hAnsi="Times New Roman"/>
          <w:b/>
          <w:bCs/>
          <w:color w:val="111111"/>
          <w:sz w:val="24"/>
          <w:szCs w:val="24"/>
        </w:rPr>
        <w:t>8.1.4.</w:t>
      </w:r>
      <w:r>
        <w:rPr>
          <w:rFonts w:eastAsia="Times New Roman" w:cs="Times New Roman" w:ascii="Times New Roman" w:hAnsi="Times New Roman"/>
          <w:color w:val="111111"/>
          <w:sz w:val="24"/>
          <w:szCs w:val="24"/>
        </w:rPr>
        <w:t xml:space="preserve"> A sanção de multa compensatória será aplicada ao responsável por qualquer das infrações administrativas previstas no art. 155 da Lei Federal nº 14.133/2021, calculada na forma prevista no art.7º do</w:t>
      </w:r>
      <w:hyperlink r:id="rId10">
        <w:r>
          <w:rPr>
            <w:rStyle w:val="Style3"/>
            <w:rFonts w:eastAsia="Times New Roman" w:cs="Times New Roman" w:ascii="Times New Roman" w:hAnsi="Times New Roman"/>
            <w:color w:val="111111"/>
            <w:sz w:val="24"/>
            <w:szCs w:val="24"/>
            <w:u w:val="single"/>
          </w:rPr>
          <w:t xml:space="preserve"> </w:t>
        </w:r>
      </w:hyperlink>
      <w:hyperlink r:id="rId11">
        <w:r>
          <w:rPr>
            <w:rStyle w:val="Style3"/>
            <w:rFonts w:eastAsia="Times New Roman" w:cs="Times New Roman" w:ascii="Times New Roman" w:hAnsi="Times New Roman"/>
            <w:color w:val="111111"/>
            <w:sz w:val="24"/>
            <w:szCs w:val="24"/>
            <w:u w:val="single"/>
          </w:rPr>
          <w:t>Decreto n.º 199/2026</w:t>
        </w:r>
      </w:hyperlink>
      <w:r>
        <w:rPr>
          <w:rFonts w:eastAsia="Times New Roman" w:cs="Times New Roman" w:ascii="Times New Roman" w:hAnsi="Times New Roman"/>
          <w:color w:val="111111"/>
          <w:sz w:val="24"/>
          <w:szCs w:val="24"/>
        </w:rPr>
        <w:t>, não podendo ser inferior a 1% (um por cento) nem superior a 30% (trinta por cento) do valor contratado.</w:t>
      </w:r>
    </w:p>
    <w:p>
      <w:pPr>
        <w:pStyle w:val="Normal"/>
        <w:keepLines w:val="false"/>
        <w:widowControl/>
        <w:spacing w:before="120" w:after="120"/>
        <w:jc w:val="both"/>
        <w:rPr/>
      </w:pPr>
      <w:r>
        <w:rPr>
          <w:rFonts w:eastAsia="Times New Roman" w:cs="Times New Roman" w:ascii="Times New Roman" w:hAnsi="Times New Roman"/>
          <w:b/>
          <w:bCs/>
          <w:color w:val="111111"/>
          <w:sz w:val="24"/>
          <w:szCs w:val="24"/>
        </w:rPr>
        <w:t>8.1.5.</w:t>
      </w:r>
      <w:r>
        <w:rPr>
          <w:rFonts w:eastAsia="Times New Roman" w:cs="Times New Roman" w:ascii="Times New Roman" w:hAnsi="Times New Roman"/>
          <w:color w:val="111111"/>
          <w:sz w:val="24"/>
          <w:szCs w:val="24"/>
        </w:rPr>
        <w:t xml:space="preserve"> A sanção de multa moratória prevista no art. 162 da Lei Federal nº 14.133/2021 será calculada na forma prevista no art.8º do</w:t>
      </w:r>
      <w:hyperlink r:id="rId12">
        <w:r>
          <w:rPr>
            <w:rStyle w:val="Style3"/>
            <w:rFonts w:eastAsia="Times New Roman" w:cs="Times New Roman" w:ascii="Times New Roman" w:hAnsi="Times New Roman"/>
            <w:color w:val="111111"/>
            <w:sz w:val="24"/>
            <w:szCs w:val="24"/>
            <w:u w:val="single"/>
          </w:rPr>
          <w:t xml:space="preserve"> </w:t>
        </w:r>
      </w:hyperlink>
      <w:hyperlink r:id="rId13">
        <w:r>
          <w:rPr>
            <w:rStyle w:val="Style3"/>
            <w:rFonts w:eastAsia="Times New Roman" w:cs="Times New Roman" w:ascii="Times New Roman" w:hAnsi="Times New Roman"/>
            <w:color w:val="111111"/>
            <w:sz w:val="24"/>
            <w:szCs w:val="24"/>
            <w:u w:val="single"/>
          </w:rPr>
          <w:t>Decreto n.º 199/2026</w:t>
        </w:r>
      </w:hyperlink>
      <w:r>
        <w:rPr>
          <w:rFonts w:eastAsia="Times New Roman" w:cs="Times New Roman" w:ascii="Times New Roman" w:hAnsi="Times New Roman"/>
          <w:color w:val="111111"/>
          <w:sz w:val="24"/>
          <w:szCs w:val="24"/>
        </w:rPr>
        <w:t>, limitada a 10% (dez por cento) do valor atualizado do contrato.</w:t>
      </w:r>
    </w:p>
    <w:p>
      <w:pPr>
        <w:pStyle w:val="Normal"/>
        <w:keepLines w:val="false"/>
        <w:widowControl/>
        <w:spacing w:before="120" w:after="120"/>
        <w:jc w:val="both"/>
        <w:rPr>
          <w:color w:val="111111"/>
        </w:rPr>
      </w:pPr>
      <w:r>
        <w:rPr>
          <w:rFonts w:eastAsia="Times New Roman" w:cs="Times New Roman" w:ascii="Times New Roman" w:hAnsi="Times New Roman"/>
          <w:b/>
          <w:bCs/>
          <w:color w:val="111111"/>
          <w:sz w:val="24"/>
          <w:szCs w:val="24"/>
        </w:rPr>
        <w:t>8.1.6. O valor da multa de mora ou compensatória aplicada será:</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I – retido dos pagamentos devidos pelo órgão ou entidade, incluindo pagamentos decorrentes de outros contratos firmados com o contratado;</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II – descontado do valor da garantia prestada, se houver;</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III – pago por meio de documento próprio de arrecadação do Município; ou</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IV – cobrado judicialmente.</w:t>
      </w:r>
    </w:p>
    <w:p>
      <w:pPr>
        <w:pStyle w:val="Normal"/>
        <w:keepLines w:val="false"/>
        <w:widowControl/>
        <w:spacing w:before="280" w:after="280"/>
        <w:jc w:val="both"/>
        <w:rPr>
          <w:color w:val="111111"/>
        </w:rPr>
      </w:pPr>
      <w:r>
        <w:rPr>
          <w:rFonts w:eastAsia="Times New Roman" w:cs="Times New Roman" w:ascii="Times New Roman" w:hAnsi="Times New Roman"/>
          <w:b/>
          <w:bCs/>
          <w:color w:val="111111"/>
          <w:sz w:val="24"/>
          <w:szCs w:val="24"/>
        </w:rPr>
        <w:t>8.1.6.1.</w:t>
      </w:r>
      <w:r>
        <w:rPr>
          <w:rFonts w:eastAsia="Times New Roman" w:cs="Times New Roman" w:ascii="Times New Roman" w:hAnsi="Times New Roman"/>
          <w:color w:val="111111"/>
          <w:sz w:val="24"/>
          <w:szCs w:val="24"/>
        </w:rPr>
        <w:t xml:space="preserve"> O não pagamento do valor integral das multas arbitradas poderá ser objeto de protesto, nos termos do art. 1º da Lei Federal nº 9.492 de 1997.</w:t>
      </w:r>
    </w:p>
    <w:p>
      <w:pPr>
        <w:pStyle w:val="Normal"/>
        <w:keepLines w:val="false"/>
        <w:widowControl/>
        <w:spacing w:before="280" w:after="280"/>
        <w:jc w:val="both"/>
        <w:rPr/>
      </w:pPr>
      <w:r>
        <w:rPr>
          <w:rFonts w:eastAsia="Times New Roman" w:cs="Times New Roman" w:ascii="Times New Roman" w:hAnsi="Times New Roman"/>
          <w:b/>
          <w:bCs/>
          <w:color w:val="111111"/>
          <w:sz w:val="24"/>
          <w:szCs w:val="24"/>
        </w:rPr>
        <w:t>8.1.7.</w:t>
      </w:r>
      <w:r>
        <w:rPr>
          <w:rFonts w:eastAsia="Times New Roman" w:cs="Times New Roman" w:ascii="Times New Roman" w:hAnsi="Times New Roman"/>
          <w:color w:val="111111"/>
          <w:sz w:val="24"/>
          <w:szCs w:val="24"/>
        </w:rPr>
        <w:t xml:space="preserve"> Será aplicada a sanção de impedimento de licitar e contratar com a Administração Pública Municipal, pelo prazo máximo de 3 (três) anos, quando não se justificar a imposição de penalidade mais grave, observando-se os parâmetros estabelecidos nos arts. 10 e 15 do</w:t>
      </w:r>
      <w:hyperlink r:id="rId14">
        <w:r>
          <w:rPr>
            <w:rStyle w:val="Style3"/>
            <w:rFonts w:eastAsia="Times New Roman" w:cs="Times New Roman" w:ascii="Times New Roman" w:hAnsi="Times New Roman"/>
            <w:color w:val="111111"/>
            <w:sz w:val="24"/>
            <w:szCs w:val="24"/>
          </w:rPr>
          <w:t xml:space="preserve"> Decreto Municipal nº 199/2026</w:t>
        </w:r>
      </w:hyperlink>
      <w:r>
        <w:rPr>
          <w:rFonts w:eastAsia="Times New Roman" w:cs="Times New Roman" w:ascii="Times New Roman" w:hAnsi="Times New Roman"/>
          <w:color w:val="111111"/>
          <w:sz w:val="24"/>
          <w:szCs w:val="24"/>
        </w:rPr>
        <w:t>.</w:t>
      </w:r>
    </w:p>
    <w:p>
      <w:pPr>
        <w:pStyle w:val="Normal"/>
        <w:keepLines w:val="false"/>
        <w:widowControl/>
        <w:spacing w:before="280" w:after="280"/>
        <w:jc w:val="both"/>
        <w:rPr/>
      </w:pPr>
      <w:r>
        <w:rPr>
          <w:rFonts w:eastAsia="Times New Roman" w:cs="Times New Roman" w:ascii="Times New Roman" w:hAnsi="Times New Roman"/>
          <w:b/>
          <w:bCs/>
          <w:color w:val="111111"/>
          <w:sz w:val="24"/>
          <w:szCs w:val="24"/>
        </w:rPr>
        <w:t>8.1.8.</w:t>
      </w:r>
      <w:r>
        <w:rPr>
          <w:rFonts w:eastAsia="Times New Roman" w:cs="Times New Roman" w:ascii="Times New Roman" w:hAnsi="Times New Roman"/>
          <w:color w:val="111111"/>
          <w:sz w:val="24"/>
          <w:szCs w:val="24"/>
        </w:rPr>
        <w:t xml:space="preserve"> Será aplicada a sanção de declaração de inidoneidade para licitar e contratar com a Administração Pública direta e indireta, de todos os entes federativos, pelo prazo mínimo de 3 (três) e máximo de 6 (seis) anos, observando-se os parâmetros estabelecidos no art. 15 do</w:t>
      </w:r>
      <w:hyperlink r:id="rId15">
        <w:r>
          <w:rPr>
            <w:rStyle w:val="Style3"/>
            <w:rFonts w:eastAsia="Times New Roman" w:cs="Times New Roman" w:ascii="Times New Roman" w:hAnsi="Times New Roman"/>
            <w:color w:val="111111"/>
            <w:sz w:val="24"/>
            <w:szCs w:val="24"/>
          </w:rPr>
          <w:t xml:space="preserve"> Decreto Municipal nº 199/2026</w:t>
        </w:r>
      </w:hyperlink>
      <w:r>
        <w:rPr>
          <w:rFonts w:eastAsia="Times New Roman" w:cs="Times New Roman" w:ascii="Times New Roman" w:hAnsi="Times New Roman"/>
          <w:color w:val="111111"/>
          <w:sz w:val="24"/>
          <w:szCs w:val="24"/>
        </w:rPr>
        <w:t>, aos responsáveis pelas seguintes infrações:</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I - apresentar declaração ou documentação falsa exigida para o certame ou prestar declaração falsa durante a licitação ou a execução do contrato;</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II - fraudar a licitação ou praticar ato fraudulento na execução do contrato;</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III - comportar-se de modo inidôneo ou cometer fraude de qualquer natureza;</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IV - praticar atos ilícitos com vistas a frustrar os objetivos da licitação;</w:t>
      </w:r>
    </w:p>
    <w:p>
      <w:pPr>
        <w:pStyle w:val="Normal"/>
        <w:keepLines w:val="false"/>
        <w:widowControl/>
        <w:spacing w:before="280" w:after="280"/>
        <w:jc w:val="both"/>
        <w:rPr>
          <w:color w:val="111111"/>
        </w:rPr>
      </w:pPr>
      <w:r>
        <w:rPr>
          <w:rFonts w:eastAsia="Times New Roman" w:cs="Times New Roman" w:ascii="Times New Roman" w:hAnsi="Times New Roman"/>
          <w:color w:val="111111"/>
          <w:sz w:val="24"/>
          <w:szCs w:val="24"/>
        </w:rPr>
        <w:t>V - praticar ato lesivo previsto no art. 5º da Lei Federal nº 12.846, de 1º de agosto de 2013.</w:t>
      </w:r>
    </w:p>
    <w:p>
      <w:pPr>
        <w:pStyle w:val="Normal"/>
        <w:keepLines w:val="false"/>
        <w:widowControl/>
        <w:spacing w:before="280" w:after="280"/>
        <w:jc w:val="both"/>
        <w:rPr>
          <w:color w:val="111111"/>
        </w:rPr>
      </w:pPr>
      <w:r>
        <w:rPr>
          <w:rFonts w:eastAsia="Times New Roman" w:cs="Times New Roman" w:ascii="Times New Roman" w:hAnsi="Times New Roman"/>
          <w:b/>
          <w:bCs/>
          <w:color w:val="111111"/>
          <w:sz w:val="24"/>
          <w:szCs w:val="24"/>
        </w:rPr>
        <w:t>8.1.9.</w:t>
      </w:r>
      <w:r>
        <w:rPr>
          <w:rFonts w:eastAsia="Times New Roman" w:cs="Times New Roman" w:ascii="Times New Roman" w:hAnsi="Times New Roman"/>
          <w:color w:val="111111"/>
          <w:sz w:val="24"/>
          <w:szCs w:val="24"/>
        </w:rPr>
        <w:t xml:space="preserve"> Os demais procedimentos relativos às apurações de infrações, aplicação de sanções administrativas aos fornecedores, bem como as respectivas dosimetrias destas, serão regidos pelo Decreto Municipal nº 199, de 7 de julho de 2026 e pela Lei Federal nº 14.133, de 1º de Abril de 2021.</w:t>
      </w:r>
    </w:p>
    <w:p>
      <w:pPr>
        <w:pStyle w:val="Heading1"/>
        <w:rPr>
          <w:color w:val="111111"/>
        </w:rPr>
      </w:pPr>
      <w:r>
        <w:rPr>
          <w:color w:val="111111"/>
        </w:rPr>
        <w:t>9. DA IMPUGNAÇÃO AO EDITAL E DO PEDIDO DE ESCLARECIMENTO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9.1. </w:t>
      </w:r>
      <w:r>
        <w:rPr>
          <w:rFonts w:eastAsia="Times New Roman" w:cs="Times New Roman" w:ascii="Times New Roman" w:hAnsi="Times New Roman"/>
          <w:color w:val="111111"/>
          <w:sz w:val="24"/>
          <w:szCs w:val="24"/>
        </w:rPr>
        <w:t>Qualquer pessoa é parte legítima para impugnar este Edital por irregularidade na aplicação da Lei Federal n.º 14.133/2021, devendo protocolar o pedido até 3 (três) dias úteis antes da data da abertura da sessão pública.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9.2.</w:t>
      </w:r>
      <w:r>
        <w:rPr>
          <w:rFonts w:eastAsia="Times New Roman" w:cs="Times New Roman" w:ascii="Times New Roman" w:hAnsi="Times New Roman"/>
          <w:color w:val="111111"/>
          <w:sz w:val="24"/>
          <w:szCs w:val="24"/>
        </w:rPr>
        <w:t xml:space="preserve"> A impugnação e o pedido de esclarecimento deverão ser realizados exclusivamente por meio do sistema eletrônico PREGÃO ONLINE BANRISUL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9.3.</w:t>
      </w:r>
      <w:r>
        <w:rPr>
          <w:rFonts w:eastAsia="Times New Roman" w:cs="Times New Roman" w:ascii="Times New Roman" w:hAnsi="Times New Roman"/>
          <w:color w:val="111111"/>
          <w:sz w:val="24"/>
          <w:szCs w:val="24"/>
        </w:rPr>
        <w:t xml:space="preserve"> Os pedidos de esclarecimentos referentes a este processo licitatório deverão ser enviados ao Pregoeiro, até 3 (três) dias úteis anteriores à data designada para abertura da sessão pública, exclusivamente por meio eletrônico PREGÃO ONLINE BANRISUL.</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9.4.</w:t>
      </w:r>
      <w:r>
        <w:rPr>
          <w:rFonts w:eastAsia="Times New Roman" w:cs="Times New Roman" w:ascii="Times New Roman" w:hAnsi="Times New Roman"/>
          <w:color w:val="111111"/>
          <w:sz w:val="24"/>
          <w:szCs w:val="24"/>
        </w:rPr>
        <w:t xml:space="preserve"> A resposta à impugnação ou ao pedido de esclarecimento será divulgada em sítio eletrônico oficial no prazo de até 3 (três) dias úteis, limitado ao último dia útil anterior à data da abertura da sessão pública.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9.5.</w:t>
      </w:r>
      <w:r>
        <w:rPr>
          <w:rFonts w:eastAsia="Times New Roman" w:cs="Times New Roman" w:ascii="Times New Roman" w:hAnsi="Times New Roman"/>
          <w:color w:val="111111"/>
          <w:sz w:val="24"/>
          <w:szCs w:val="24"/>
        </w:rPr>
        <w:t xml:space="preserve"> As impugnações e pedidos de esclarecimentos não suspendem os prazos previstos no certame.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9.5.1.</w:t>
      </w:r>
      <w:r>
        <w:rPr>
          <w:rFonts w:eastAsia="Times New Roman" w:cs="Times New Roman" w:ascii="Times New Roman" w:hAnsi="Times New Roman"/>
          <w:color w:val="111111"/>
          <w:sz w:val="24"/>
          <w:szCs w:val="24"/>
        </w:rPr>
        <w:t xml:space="preserve"> A concessão de efeito suspensivo à impugnação é medida excepcional e deverá ser motivada pelo agente de contratação, nos autos do processo de licitação.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highlight w:val="white"/>
        </w:rPr>
        <w:t xml:space="preserve">9.6. </w:t>
      </w:r>
      <w:r>
        <w:rPr>
          <w:rFonts w:eastAsia="Times New Roman" w:cs="Times New Roman" w:ascii="Times New Roman" w:hAnsi="Times New Roman"/>
          <w:color w:val="111111"/>
          <w:sz w:val="24"/>
          <w:szCs w:val="24"/>
          <w:highlight w:val="white"/>
        </w:rPr>
        <w:t>Acolhida a impugnação, será definida e publicada nova data para a abertura da sessão pública.</w:t>
      </w:r>
    </w:p>
    <w:p>
      <w:pPr>
        <w:pStyle w:val="Normal"/>
        <w:keepLines w:val="false"/>
        <w:widowControl/>
        <w:spacing w:before="240" w:after="288"/>
        <w:jc w:val="both"/>
        <w:rPr>
          <w:color w:val="111111"/>
        </w:rPr>
      </w:pPr>
      <w:r>
        <w:rPr>
          <w:rFonts w:eastAsia="Times New Roman" w:cs="Times New Roman" w:ascii="Times New Roman" w:hAnsi="Times New Roman"/>
          <w:b/>
          <w:bCs/>
          <w:color w:val="111111"/>
          <w:sz w:val="24"/>
          <w:szCs w:val="24"/>
        </w:rPr>
        <w:t>10. DA ASSINATURA DO CONTRATO</w:t>
      </w:r>
    </w:p>
    <w:p>
      <w:pPr>
        <w:pStyle w:val="Normal"/>
        <w:keepLines w:val="false"/>
        <w:widowControl/>
        <w:spacing w:before="240" w:after="288"/>
        <w:jc w:val="both"/>
        <w:rPr>
          <w:color w:val="111111"/>
        </w:rPr>
      </w:pPr>
      <w:r>
        <w:rPr>
          <w:rFonts w:eastAsia="Times New Roman" w:cs="Times New Roman" w:ascii="Times New Roman" w:hAnsi="Times New Roman"/>
          <w:b/>
          <w:bCs/>
          <w:color w:val="111111"/>
          <w:sz w:val="24"/>
          <w:szCs w:val="24"/>
        </w:rPr>
        <w:t>10.1.</w:t>
      </w:r>
      <w:r>
        <w:rPr>
          <w:rFonts w:eastAsia="Times New Roman" w:cs="Times New Roman" w:ascii="Times New Roman" w:hAnsi="Times New Roman"/>
          <w:color w:val="111111"/>
          <w:sz w:val="24"/>
          <w:szCs w:val="24"/>
        </w:rPr>
        <w:t xml:space="preserve"> Havendo necessidade de celebração de instrumento contratual, o fornecedor/prestador terá o prazo de </w:t>
      </w:r>
      <w:r>
        <w:rPr>
          <w:rFonts w:eastAsia="Times New Roman" w:cs="Times New Roman" w:ascii="Times New Roman" w:hAnsi="Times New Roman"/>
          <w:b/>
          <w:bCs/>
          <w:color w:val="111111"/>
          <w:sz w:val="24"/>
          <w:szCs w:val="24"/>
        </w:rPr>
        <w:t>até 5 (cinco) dias consecutivos</w:t>
      </w:r>
      <w:r>
        <w:rPr>
          <w:rFonts w:eastAsia="Times New Roman" w:cs="Times New Roman" w:ascii="Times New Roman" w:hAnsi="Times New Roman"/>
          <w:color w:val="111111"/>
          <w:sz w:val="24"/>
          <w:szCs w:val="24"/>
        </w:rPr>
        <w:t xml:space="preserve"> para assinatura do Termo de Contrato, contados da data de convocação feita, por meio eletrônico (e-mail), pelo Município.</w:t>
      </w:r>
    </w:p>
    <w:p>
      <w:pPr>
        <w:pStyle w:val="Normal"/>
        <w:keepLines w:val="false"/>
        <w:widowControl/>
        <w:spacing w:before="240" w:after="288"/>
        <w:jc w:val="both"/>
        <w:rPr>
          <w:color w:val="111111"/>
        </w:rPr>
      </w:pPr>
      <w:r>
        <w:rPr>
          <w:rFonts w:eastAsia="Times New Roman" w:cs="Times New Roman" w:ascii="Times New Roman" w:hAnsi="Times New Roman"/>
          <w:b/>
          <w:bCs/>
          <w:color w:val="111111"/>
          <w:sz w:val="24"/>
          <w:szCs w:val="24"/>
        </w:rPr>
        <w:t xml:space="preserve">10.1.1. </w:t>
      </w:r>
      <w:r>
        <w:rPr>
          <w:rFonts w:eastAsia="Times New Roman" w:cs="Times New Roman" w:ascii="Times New Roman" w:hAnsi="Times New Roman"/>
          <w:color w:val="111111"/>
          <w:sz w:val="24"/>
          <w:szCs w:val="24"/>
        </w:rPr>
        <w:t xml:space="preserve">O prazo estabelecido no item </w:t>
      </w:r>
      <w:r>
        <w:rPr>
          <w:rFonts w:eastAsia="Times New Roman" w:cs="Times New Roman" w:ascii="Times New Roman" w:hAnsi="Times New Roman"/>
          <w:b/>
          <w:bCs/>
          <w:color w:val="111111"/>
          <w:sz w:val="24"/>
          <w:szCs w:val="24"/>
        </w:rPr>
        <w:t>10.1.</w:t>
      </w:r>
      <w:r>
        <w:rPr>
          <w:rFonts w:eastAsia="Times New Roman" w:cs="Times New Roman" w:ascii="Times New Roman" w:hAnsi="Times New Roman"/>
          <w:color w:val="111111"/>
          <w:sz w:val="24"/>
          <w:szCs w:val="24"/>
        </w:rPr>
        <w:t xml:space="preserve"> poderá ser prorrogado a critério do </w:t>
      </w:r>
      <w:r>
        <w:rPr>
          <w:rFonts w:eastAsia="Times New Roman" w:cs="Times New Roman" w:ascii="Times New Roman" w:hAnsi="Times New Roman"/>
          <w:color w:val="111111"/>
          <w:sz w:val="24"/>
          <w:szCs w:val="24"/>
          <w:highlight w:val="white"/>
        </w:rPr>
        <w:t>Município</w:t>
      </w:r>
      <w:r>
        <w:rPr>
          <w:rFonts w:eastAsia="Times New Roman" w:cs="Times New Roman" w:ascii="Times New Roman" w:hAnsi="Times New Roman"/>
          <w:color w:val="111111"/>
          <w:sz w:val="24"/>
          <w:szCs w:val="24"/>
        </w:rPr>
        <w:t>, mediante apresentação de justificativa pelo fornecedor/prestador.</w:t>
      </w:r>
    </w:p>
    <w:p>
      <w:pPr>
        <w:pStyle w:val="Normal"/>
        <w:keepLines w:val="false"/>
        <w:widowControl/>
        <w:spacing w:before="240" w:after="288"/>
        <w:jc w:val="both"/>
        <w:rPr/>
      </w:pPr>
      <w:r>
        <w:rPr>
          <w:rFonts w:eastAsia="Times New Roman" w:cs="Times New Roman" w:ascii="Times New Roman" w:hAnsi="Times New Roman"/>
          <w:b/>
          <w:bCs/>
          <w:color w:val="111111"/>
          <w:sz w:val="24"/>
          <w:szCs w:val="24"/>
        </w:rPr>
        <w:t xml:space="preserve">10.1.2. </w:t>
      </w:r>
      <w:r>
        <w:rPr>
          <w:rFonts w:eastAsia="Times New Roman" w:cs="Times New Roman" w:ascii="Times New Roman" w:hAnsi="Times New Roman"/>
          <w:color w:val="111111"/>
          <w:sz w:val="24"/>
          <w:szCs w:val="24"/>
        </w:rPr>
        <w:t xml:space="preserve">O Termo de Contrato deverá ser assinado, preferencialmente, por meio eletrônico, com </w:t>
      </w:r>
      <w:r>
        <w:rPr>
          <w:rFonts w:eastAsia="Times New Roman" w:cs="Times New Roman" w:ascii="Times New Roman" w:hAnsi="Times New Roman"/>
          <w:color w:val="111111"/>
          <w:sz w:val="24"/>
          <w:szCs w:val="24"/>
          <w:highlight w:val="white"/>
        </w:rPr>
        <w:t>assinaturas eletrônicas emitidas por certificadoras autorizadas pela ICP-Brasil (</w:t>
      </w:r>
      <w:hyperlink r:id="rId16">
        <w:r>
          <w:rPr>
            <w:rStyle w:val="Style3"/>
            <w:rFonts w:eastAsia="Times New Roman" w:cs="Times New Roman" w:ascii="Times New Roman" w:hAnsi="Times New Roman"/>
            <w:color w:val="111111"/>
            <w:sz w:val="24"/>
            <w:szCs w:val="24"/>
            <w:highlight w:val="white"/>
            <w:u w:val="single"/>
          </w:rPr>
          <w:t>lista de Autoridades Credenciadas ICP-Brasil</w:t>
        </w:r>
      </w:hyperlink>
      <w:r>
        <w:rPr>
          <w:rFonts w:eastAsia="Times New Roman" w:cs="Times New Roman" w:ascii="Times New Roman" w:hAnsi="Times New Roman"/>
          <w:color w:val="111111"/>
          <w:sz w:val="24"/>
          <w:szCs w:val="24"/>
          <w:highlight w:val="white"/>
        </w:rPr>
        <w:t xml:space="preserve">) ou produzidas via portal </w:t>
      </w:r>
      <w:hyperlink r:id="rId17">
        <w:r>
          <w:rPr>
            <w:rStyle w:val="Style3"/>
            <w:rFonts w:eastAsia="Times New Roman" w:cs="Times New Roman" w:ascii="Times New Roman" w:hAnsi="Times New Roman"/>
            <w:color w:val="111111"/>
            <w:sz w:val="24"/>
            <w:szCs w:val="24"/>
            <w:highlight w:val="white"/>
            <w:u w:val="single"/>
          </w:rPr>
          <w:t>GOV.BR</w:t>
        </w:r>
      </w:hyperlink>
      <w:r>
        <w:rPr>
          <w:rFonts w:eastAsia="Times New Roman" w:cs="Times New Roman" w:ascii="Times New Roman" w:hAnsi="Times New Roman"/>
          <w:color w:val="111111"/>
          <w:sz w:val="24"/>
          <w:szCs w:val="24"/>
          <w:highlight w:val="white"/>
        </w:rPr>
        <w:t>.</w:t>
      </w:r>
    </w:p>
    <w:p>
      <w:pPr>
        <w:pStyle w:val="Normal"/>
        <w:keepLines w:val="false"/>
        <w:widowControl/>
        <w:spacing w:before="240" w:after="288"/>
        <w:jc w:val="both"/>
        <w:rPr/>
      </w:pPr>
      <w:r>
        <w:rPr>
          <w:rFonts w:eastAsia="Times New Roman" w:cs="Times New Roman" w:ascii="Times New Roman" w:hAnsi="Times New Roman"/>
          <w:b/>
          <w:bCs/>
          <w:color w:val="111111"/>
          <w:sz w:val="24"/>
          <w:szCs w:val="24"/>
          <w:highlight w:val="white"/>
        </w:rPr>
        <w:t xml:space="preserve">10.1.3. </w:t>
      </w:r>
      <w:r>
        <w:rPr>
          <w:rFonts w:eastAsia="Times New Roman" w:cs="Times New Roman" w:ascii="Times New Roman" w:hAnsi="Times New Roman"/>
          <w:color w:val="111111"/>
          <w:sz w:val="24"/>
          <w:szCs w:val="24"/>
          <w:highlight w:val="white"/>
        </w:rPr>
        <w:t xml:space="preserve">A verificação da autenticidade das assinaturas será realizada pela Administração Municipal através do </w:t>
      </w:r>
      <w:hyperlink r:id="rId18">
        <w:r>
          <w:rPr>
            <w:rStyle w:val="Style3"/>
            <w:rFonts w:eastAsia="Times New Roman" w:cs="Times New Roman" w:ascii="Times New Roman" w:hAnsi="Times New Roman"/>
            <w:color w:val="111111"/>
            <w:sz w:val="24"/>
            <w:szCs w:val="24"/>
            <w:highlight w:val="white"/>
            <w:u w:val="single"/>
          </w:rPr>
          <w:t>Portal Validar</w:t>
        </w:r>
      </w:hyperlink>
      <w:r>
        <w:rPr>
          <w:rFonts w:eastAsia="Times New Roman" w:cs="Times New Roman" w:ascii="Times New Roman" w:hAnsi="Times New Roman"/>
          <w:color w:val="111111"/>
          <w:sz w:val="24"/>
          <w:szCs w:val="24"/>
          <w:highlight w:val="white"/>
        </w:rPr>
        <w:t>.</w:t>
      </w:r>
    </w:p>
    <w:p>
      <w:pPr>
        <w:pStyle w:val="Normal"/>
        <w:keepLines w:val="false"/>
        <w:widowControl/>
        <w:spacing w:before="240" w:after="288"/>
        <w:jc w:val="both"/>
        <w:rPr>
          <w:color w:val="111111"/>
        </w:rPr>
      </w:pPr>
      <w:r>
        <w:rPr>
          <w:rFonts w:eastAsia="Times New Roman" w:cs="Times New Roman" w:ascii="Times New Roman" w:hAnsi="Times New Roman"/>
          <w:b/>
          <w:bCs/>
          <w:color w:val="111111"/>
          <w:sz w:val="24"/>
          <w:szCs w:val="24"/>
          <w:highlight w:val="white"/>
        </w:rPr>
        <w:t>10.1.4.</w:t>
      </w:r>
      <w:r>
        <w:rPr>
          <w:rFonts w:eastAsia="Times New Roman" w:cs="Times New Roman" w:ascii="Times New Roman" w:hAnsi="Times New Roman"/>
          <w:color w:val="111111"/>
          <w:sz w:val="24"/>
          <w:szCs w:val="24"/>
          <w:highlight w:val="white"/>
        </w:rPr>
        <w:t xml:space="preserve"> Em se tratando de documento assinado na forma física e, posteriormente digitalizado, deverá ser encaminhado documento oficial com foto do(s) representante(s) legal(is) indicado(s) no preâmbulo do Termo de Contrato.</w:t>
      </w:r>
    </w:p>
    <w:p>
      <w:pPr>
        <w:pStyle w:val="Normal"/>
        <w:keepLines w:val="false"/>
        <w:widowControl/>
        <w:spacing w:before="240" w:after="288"/>
        <w:jc w:val="both"/>
        <w:rPr>
          <w:color w:val="111111"/>
        </w:rPr>
      </w:pPr>
      <w:r>
        <w:rPr>
          <w:rFonts w:eastAsia="Times New Roman" w:cs="Times New Roman" w:ascii="Times New Roman" w:hAnsi="Times New Roman"/>
          <w:b/>
          <w:bCs/>
          <w:color w:val="111111"/>
          <w:sz w:val="24"/>
          <w:szCs w:val="24"/>
        </w:rPr>
        <w:t>10.2.</w:t>
      </w:r>
      <w:r>
        <w:rPr>
          <w:rFonts w:eastAsia="Times New Roman" w:cs="Times New Roman" w:ascii="Times New Roman" w:hAnsi="Times New Roman"/>
          <w:color w:val="111111"/>
          <w:sz w:val="24"/>
          <w:szCs w:val="24"/>
        </w:rPr>
        <w:t xml:space="preserve"> Fica a critério da Administração exigir documentação a ser apresentada no momento da assinatura do contrato mediante a devida fundamentação, caso conste no Termo de Referência.</w:t>
      </w:r>
    </w:p>
    <w:p>
      <w:pPr>
        <w:pStyle w:val="Heading1"/>
        <w:rPr>
          <w:color w:val="111111"/>
        </w:rPr>
      </w:pPr>
      <w:r>
        <w:rPr>
          <w:color w:val="111111"/>
        </w:rPr>
        <w:t>11. DAS DISPOSIÇÕES GERAIS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11.1.</w:t>
      </w:r>
      <w:r>
        <w:rPr>
          <w:rFonts w:eastAsia="Times New Roman" w:cs="Times New Roman" w:ascii="Times New Roman" w:hAnsi="Times New Roman"/>
          <w:color w:val="111111"/>
          <w:sz w:val="24"/>
          <w:szCs w:val="24"/>
        </w:rPr>
        <w:t xml:space="preserve"> Será divulgada ata da sessão pública no sistema eletrônico.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11.2.</w:t>
      </w:r>
      <w:r>
        <w:rPr>
          <w:rFonts w:eastAsia="Times New Roman" w:cs="Times New Roman" w:ascii="Times New Roman" w:hAnsi="Times New Roman"/>
          <w:color w:val="111111"/>
          <w:sz w:val="24"/>
          <w:szCs w:val="24"/>
        </w:rPr>
        <w:t xml:space="preserve"> Não havendo expediente ou ocorrendo qualquer fato superveniente que impeça a realização do certame na data marcada, a sessão será automaticamente transferida para o primeiro dia útil subsequente, no mesmo horário e endereço eletrônico, salvo comunicação do Pregoeiro em sentido contrário.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11.3.</w:t>
      </w:r>
      <w:r>
        <w:rPr>
          <w:rFonts w:eastAsia="Times New Roman" w:cs="Times New Roman" w:ascii="Times New Roman" w:hAnsi="Times New Roman"/>
          <w:color w:val="111111"/>
          <w:sz w:val="24"/>
          <w:szCs w:val="24"/>
        </w:rPr>
        <w:t xml:space="preserve"> Todas as referências de tempo no Edital, no aviso e durante a sessão pública observarão o horário de Brasília – DF.</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11.4.</w:t>
      </w:r>
      <w:r>
        <w:rPr>
          <w:rFonts w:eastAsia="Times New Roman" w:cs="Times New Roman" w:ascii="Times New Roman" w:hAnsi="Times New Roman"/>
          <w:color w:val="111111"/>
          <w:sz w:val="24"/>
          <w:szCs w:val="24"/>
        </w:rPr>
        <w:t xml:space="preserve"> A homologação do resultado desta licitação não implicará direito à contratação.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11.5.</w:t>
      </w:r>
      <w:r>
        <w:rPr>
          <w:rFonts w:eastAsia="Times New Roman" w:cs="Times New Roman" w:ascii="Times New Roman" w:hAnsi="Times New Roman"/>
          <w:color w:val="111111"/>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11.6.</w:t>
      </w:r>
      <w:r>
        <w:rPr>
          <w:rFonts w:eastAsia="Times New Roman" w:cs="Times New Roman" w:ascii="Times New Roman" w:hAnsi="Times New Roman"/>
          <w:color w:val="111111"/>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11.7. </w:t>
      </w:r>
      <w:r>
        <w:rPr>
          <w:rFonts w:eastAsia="Times New Roman" w:cs="Times New Roman" w:ascii="Times New Roman" w:hAnsi="Times New Roman"/>
          <w:color w:val="111111"/>
          <w:sz w:val="24"/>
          <w:szCs w:val="24"/>
        </w:rPr>
        <w:t>Na contagem dos prazos estabelecidos neste Edital e seus Anexos, excluir-se-á o dia do início e incluir-se-á o do vencimento. Só se iniciam e vencem os prazos em dias de expediente na Administração.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11.8. </w:t>
      </w:r>
      <w:r>
        <w:rPr>
          <w:rFonts w:eastAsia="Times New Roman" w:cs="Times New Roman" w:ascii="Times New Roman" w:hAnsi="Times New Roman"/>
          <w:color w:val="111111"/>
          <w:sz w:val="24"/>
          <w:szCs w:val="24"/>
        </w:rPr>
        <w:t>O desatendimento de exigências formais não essenciais não importará o afastamento da licitante, desde que seja possível o aproveitamento do ato, observados os princípios da isonomia e do interesse público.</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11.9.</w:t>
      </w:r>
      <w:r>
        <w:rPr>
          <w:rFonts w:eastAsia="Times New Roman" w:cs="Times New Roman" w:ascii="Times New Roman" w:hAnsi="Times New Roman"/>
          <w:color w:val="111111"/>
          <w:sz w:val="24"/>
          <w:szCs w:val="24"/>
        </w:rPr>
        <w:t xml:space="preserve"> Havendo a contratação para cota principal e para cota reservada às ME/EPPs, em relação ao mesmo objeto e para licitantes distintos, será priorizada a aquisição dos produtos da cota reservada, ressalvados os casos em que esta for, justificadamente, inadequada para atender as quantidades ou as condições do pedido.</w:t>
      </w:r>
    </w:p>
    <w:p>
      <w:pPr>
        <w:pStyle w:val="Normal"/>
        <w:widowControl/>
        <w:spacing w:before="288" w:after="288"/>
        <w:jc w:val="both"/>
        <w:rPr>
          <w:color w:val="111111"/>
        </w:rPr>
      </w:pPr>
      <w:r>
        <w:rPr>
          <w:rFonts w:eastAsia="Times New Roman" w:cs="Times New Roman" w:ascii="Times New Roman" w:hAnsi="Times New Roman"/>
          <w:b/>
          <w:bCs/>
          <w:color w:val="111111"/>
          <w:sz w:val="24"/>
          <w:szCs w:val="24"/>
        </w:rPr>
        <w:t xml:space="preserve">11.9.1. </w:t>
      </w:r>
      <w:r>
        <w:rPr>
          <w:rFonts w:eastAsia="Times New Roman" w:cs="Times New Roman" w:ascii="Times New Roman" w:hAnsi="Times New Roman"/>
          <w:color w:val="111111"/>
          <w:sz w:val="24"/>
          <w:szCs w:val="24"/>
        </w:rPr>
        <w:t>A prioridade na aquisição a que se refere o presente subitem será instrumentalizada na proporção de quatro para um (4x1) em relação aos itens da cota reservada e da cota principal, respectivamente.</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 xml:space="preserve">11.10. </w:t>
      </w:r>
      <w:r>
        <w:rPr>
          <w:rFonts w:eastAsia="Times New Roman" w:cs="Times New Roman" w:ascii="Times New Roman" w:hAnsi="Times New Roman"/>
          <w:color w:val="111111"/>
          <w:sz w:val="24"/>
          <w:szCs w:val="24"/>
        </w:rPr>
        <w:t>Em caso de divergência entre as disposições deste Edital e de seus anexos ou demais peças que compõem o processo, prevalecerá as deste Edital.</w:t>
      </w:r>
    </w:p>
    <w:p>
      <w:pPr>
        <w:pStyle w:val="Normal"/>
        <w:keepLines w:val="false"/>
        <w:widowControl/>
        <w:spacing w:before="288" w:after="288"/>
        <w:jc w:val="both"/>
        <w:rPr/>
      </w:pPr>
      <w:r>
        <w:rPr>
          <w:rFonts w:eastAsia="Times New Roman" w:cs="Times New Roman" w:ascii="Times New Roman" w:hAnsi="Times New Roman"/>
          <w:b/>
          <w:bCs/>
          <w:color w:val="111111"/>
          <w:sz w:val="24"/>
          <w:szCs w:val="24"/>
        </w:rPr>
        <w:t xml:space="preserve">11.11. </w:t>
      </w:r>
      <w:r>
        <w:rPr>
          <w:rFonts w:eastAsia="Times New Roman" w:cs="Times New Roman" w:ascii="Times New Roman" w:hAnsi="Times New Roman"/>
          <w:color w:val="111111"/>
          <w:sz w:val="24"/>
          <w:szCs w:val="24"/>
        </w:rPr>
        <w:t xml:space="preserve">O Edital e seus anexos estão disponíveis, na íntegra, no Portal Nacional de Contratações Públicas (PNCP), no sistema eletrônico PREGÃO ONLINE BANRISUL no endereço eletrônico </w:t>
      </w:r>
      <w:hyperlink r:id="rId19">
        <w:r>
          <w:rPr>
            <w:rStyle w:val="Style3"/>
            <w:rFonts w:eastAsia="Times New Roman" w:cs="Times New Roman" w:ascii="Times New Roman" w:hAnsi="Times New Roman"/>
            <w:color w:val="111111"/>
            <w:sz w:val="24"/>
            <w:szCs w:val="24"/>
            <w:u w:val="single"/>
          </w:rPr>
          <w:t>www.canoas.rs.gov.br</w:t>
        </w:r>
      </w:hyperlink>
      <w:r>
        <w:rPr>
          <w:rFonts w:eastAsia="Times New Roman" w:cs="Times New Roman" w:ascii="Times New Roman" w:hAnsi="Times New Roman"/>
          <w:color w:val="111111"/>
          <w:sz w:val="24"/>
          <w:szCs w:val="24"/>
        </w:rPr>
        <w:t>.</w:t>
      </w:r>
    </w:p>
    <w:p>
      <w:pPr>
        <w:pStyle w:val="Heading2"/>
        <w:rPr>
          <w:color w:val="111111"/>
        </w:rPr>
      </w:pPr>
      <w:r>
        <w:rPr>
          <w:color w:val="111111"/>
        </w:rPr>
        <w:t>11.12. As despesas decorrentes do objeto correrão por conta da(s) dotação(ões) orçamentária(s):</w:t>
      </w:r>
    </w:p>
    <w:p>
      <w:pPr>
        <w:pStyle w:val="Normal"/>
        <w:spacing w:before="120" w:after="120"/>
        <w:jc w:val="both"/>
        <w:rPr>
          <w:color w:val="111111"/>
        </w:rPr>
      </w:pPr>
      <w:r>
        <w:rPr>
          <w:rFonts w:eastAsia="Times New Roman" w:cs="Times New Roman" w:ascii="Times New Roman" w:hAnsi="Times New Roman"/>
          <w:b/>
          <w:bCs/>
          <w:color w:val="111111"/>
          <w:sz w:val="24"/>
          <w:szCs w:val="24"/>
        </w:rPr>
        <w:t>11.12.1.</w:t>
      </w:r>
      <w:r>
        <w:rPr>
          <w:rFonts w:eastAsia="Times New Roman" w:cs="Times New Roman" w:ascii="Times New Roman" w:hAnsi="Times New Roman"/>
          <w:color w:val="111111"/>
          <w:sz w:val="24"/>
          <w:szCs w:val="24"/>
        </w:rPr>
        <w:t xml:space="preserve"> Programa de Trabalho: </w:t>
      </w:r>
      <w:r>
        <w:rPr>
          <w:rFonts w:cs="Times New Roman" w:ascii="Times New Roman" w:hAnsi="Times New Roman"/>
          <w:color w:val="111111"/>
          <w:sz w:val="24"/>
          <w:szCs w:val="24"/>
        </w:rPr>
        <w:t>23.02.21840000 06182009221840000</w:t>
      </w:r>
    </w:p>
    <w:p>
      <w:pPr>
        <w:pStyle w:val="Normal"/>
        <w:spacing w:before="120" w:after="120"/>
        <w:jc w:val="both"/>
        <w:rPr>
          <w:color w:val="111111"/>
        </w:rPr>
      </w:pPr>
      <w:r>
        <w:rPr>
          <w:rFonts w:eastAsia="Times New Roman" w:cs="Times New Roman" w:ascii="Times New Roman" w:hAnsi="Times New Roman"/>
          <w:b/>
          <w:bCs/>
          <w:color w:val="111111"/>
          <w:sz w:val="24"/>
          <w:szCs w:val="24"/>
        </w:rPr>
        <w:t>11.12.2.</w:t>
      </w:r>
      <w:r>
        <w:rPr>
          <w:rFonts w:eastAsia="Times New Roman" w:cs="Times New Roman" w:ascii="Times New Roman" w:hAnsi="Times New Roman"/>
          <w:color w:val="111111"/>
          <w:sz w:val="24"/>
          <w:szCs w:val="24"/>
        </w:rPr>
        <w:t xml:space="preserve"> Natureza da Despesa:  </w:t>
      </w:r>
      <w:r>
        <w:rPr>
          <w:rFonts w:cs="Times New Roman" w:ascii="Times New Roman" w:hAnsi="Times New Roman"/>
          <w:color w:val="111111"/>
          <w:sz w:val="24"/>
          <w:szCs w:val="24"/>
        </w:rPr>
        <w:t>4.4.90.51.00.00.00.00</w:t>
      </w:r>
    </w:p>
    <w:p>
      <w:pPr>
        <w:pStyle w:val="Normal"/>
        <w:spacing w:before="120" w:after="120"/>
        <w:jc w:val="both"/>
        <w:rPr>
          <w:color w:val="111111"/>
        </w:rPr>
      </w:pPr>
      <w:r>
        <w:rPr>
          <w:rFonts w:eastAsia="Times New Roman" w:cs="Times New Roman" w:ascii="Times New Roman" w:hAnsi="Times New Roman"/>
          <w:b/>
          <w:bCs/>
          <w:color w:val="111111"/>
          <w:sz w:val="24"/>
          <w:szCs w:val="24"/>
        </w:rPr>
        <w:t>11.12.3.</w:t>
      </w:r>
      <w:r>
        <w:rPr>
          <w:rFonts w:eastAsia="Times New Roman" w:cs="Times New Roman" w:ascii="Times New Roman" w:hAnsi="Times New Roman"/>
          <w:color w:val="111111"/>
          <w:sz w:val="24"/>
          <w:szCs w:val="24"/>
        </w:rPr>
        <w:t xml:space="preserve"> Fonte de Recurso:        </w:t>
      </w:r>
      <w:r>
        <w:rPr>
          <w:rFonts w:cs="Times New Roman" w:ascii="Times New Roman" w:hAnsi="Times New Roman"/>
          <w:color w:val="111111"/>
          <w:sz w:val="24"/>
          <w:szCs w:val="24"/>
        </w:rPr>
        <w:t>27531044</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11.13.</w:t>
      </w:r>
      <w:r>
        <w:rPr>
          <w:rFonts w:eastAsia="Times New Roman" w:cs="Times New Roman" w:ascii="Times New Roman" w:hAnsi="Times New Roman"/>
          <w:color w:val="111111"/>
          <w:sz w:val="24"/>
          <w:szCs w:val="24"/>
        </w:rPr>
        <w:t xml:space="preserve"> Os casos omissos serão resolvidos a partir da interpretação sistemática da legislação que rege a matéria, em especial a Lei nº 14.133/2021, a Lei Complementar 123/2006 e a Constituição Federal de 1988, bem como suas eventuais regulamentações infralegais.</w:t>
      </w:r>
    </w:p>
    <w:p>
      <w:pPr>
        <w:pStyle w:val="Heading2"/>
        <w:rPr>
          <w:color w:val="111111"/>
        </w:rPr>
      </w:pPr>
      <w:r>
        <w:rPr>
          <w:color w:val="111111"/>
        </w:rPr>
        <w:t>11.14. Integram este Edital, para todos os fins e efeitos, os seguintes Anexos:</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11.14.1.</w:t>
      </w:r>
      <w:r>
        <w:rPr>
          <w:rFonts w:eastAsia="Times New Roman" w:cs="Times New Roman" w:ascii="Times New Roman" w:hAnsi="Times New Roman"/>
          <w:color w:val="111111"/>
          <w:sz w:val="24"/>
          <w:szCs w:val="24"/>
        </w:rPr>
        <w:t xml:space="preserve"> Anexo I - Termo de Referência;</w:t>
      </w:r>
    </w:p>
    <w:p>
      <w:pPr>
        <w:pStyle w:val="Normal"/>
        <w:keepLines w:val="false"/>
        <w:widowControl/>
        <w:spacing w:before="288" w:after="288"/>
        <w:jc w:val="both"/>
        <w:rPr>
          <w:color w:val="111111"/>
        </w:rPr>
      </w:pPr>
      <w:r>
        <w:rPr>
          <w:rFonts w:eastAsia="Times New Roman" w:cs="Times New Roman" w:ascii="Times New Roman" w:hAnsi="Times New Roman"/>
          <w:b/>
          <w:bCs/>
          <w:color w:val="111111"/>
          <w:sz w:val="24"/>
          <w:szCs w:val="24"/>
        </w:rPr>
        <w:t>11.14.2</w:t>
      </w:r>
      <w:r>
        <w:rPr>
          <w:rFonts w:eastAsia="Times New Roman" w:cs="Times New Roman" w:ascii="Times New Roman" w:hAnsi="Times New Roman"/>
          <w:color w:val="111111"/>
          <w:sz w:val="24"/>
          <w:szCs w:val="24"/>
        </w:rPr>
        <w:t>. Anexo II - Estudo Técnico Preliminar;</w:t>
      </w:r>
    </w:p>
    <w:p>
      <w:pPr>
        <w:pStyle w:val="Normal"/>
        <w:keepLines w:val="false"/>
        <w:widowControl/>
        <w:spacing w:before="288" w:after="288"/>
        <w:jc w:val="both"/>
        <w:rPr>
          <w:color w:val="111111"/>
        </w:rPr>
      </w:pPr>
      <w:bookmarkStart w:id="1" w:name="_heading=h.fvh3htwwugca"/>
      <w:bookmarkEnd w:id="1"/>
      <w:r>
        <w:rPr>
          <w:rFonts w:eastAsia="Times New Roman" w:cs="Times New Roman" w:ascii="Times New Roman" w:hAnsi="Times New Roman"/>
          <w:b/>
          <w:bCs/>
          <w:color w:val="111111"/>
          <w:sz w:val="24"/>
          <w:szCs w:val="24"/>
        </w:rPr>
        <w:t>11.14.3.</w:t>
      </w:r>
      <w:r>
        <w:rPr>
          <w:rFonts w:eastAsia="Times New Roman" w:cs="Times New Roman" w:ascii="Times New Roman" w:hAnsi="Times New Roman"/>
          <w:color w:val="111111"/>
          <w:sz w:val="24"/>
          <w:szCs w:val="24"/>
        </w:rPr>
        <w:t xml:space="preserve"> Anexo III - Minuta de Contrato.</w:t>
      </w:r>
    </w:p>
    <w:p>
      <w:pPr>
        <w:pStyle w:val="Normal"/>
        <w:keepLines w:val="false"/>
        <w:widowControl/>
        <w:spacing w:before="288" w:after="288"/>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keepLines w:val="false"/>
        <w:widowControl/>
        <w:spacing w:before="288" w:after="288"/>
        <w:jc w:val="end"/>
        <w:rPr>
          <w:color w:val="111111"/>
        </w:rPr>
      </w:pPr>
      <w:r>
        <w:rPr>
          <w:rFonts w:eastAsia="Times New Roman" w:cs="Times New Roman" w:ascii="Times New Roman" w:hAnsi="Times New Roman"/>
          <w:color w:val="111111"/>
          <w:sz w:val="24"/>
          <w:szCs w:val="24"/>
        </w:rPr>
        <w:t xml:space="preserve">Canoas, </w:t>
      </w:r>
      <w:r>
        <w:rPr>
          <w:rFonts w:eastAsia="Times New Roman" w:cs="Times New Roman" w:ascii="Times New Roman" w:hAnsi="Times New Roman"/>
          <w:color w:val="111111"/>
          <w:sz w:val="24"/>
          <w:szCs w:val="24"/>
        </w:rPr>
        <w:t>03</w:t>
      </w:r>
      <w:r>
        <w:rPr>
          <w:rFonts w:eastAsia="Times New Roman" w:cs="Times New Roman" w:ascii="Times New Roman" w:hAnsi="Times New Roman"/>
          <w:color w:val="111111"/>
          <w:sz w:val="24"/>
          <w:szCs w:val="24"/>
        </w:rPr>
        <w:t xml:space="preserve"> de </w:t>
      </w:r>
      <w:r>
        <w:rPr>
          <w:rFonts w:eastAsia="Times New Roman" w:cs="Times New Roman" w:ascii="Times New Roman" w:hAnsi="Times New Roman"/>
          <w:color w:val="111111"/>
          <w:sz w:val="24"/>
          <w:szCs w:val="24"/>
        </w:rPr>
        <w:t>agosto</w:t>
      </w:r>
      <w:r>
        <w:rPr>
          <w:rFonts w:eastAsia="Times New Roman" w:cs="Times New Roman" w:ascii="Times New Roman" w:hAnsi="Times New Roman"/>
          <w:color w:val="111111"/>
          <w:sz w:val="24"/>
          <w:szCs w:val="24"/>
        </w:rPr>
        <w:t xml:space="preserve"> de 202</w:t>
      </w:r>
      <w:r>
        <w:rPr>
          <w:rFonts w:eastAsia="Times New Roman" w:cs="Times New Roman" w:ascii="Times New Roman" w:hAnsi="Times New Roman"/>
          <w:color w:val="111111"/>
          <w:sz w:val="24"/>
          <w:szCs w:val="24"/>
        </w:rPr>
        <w:t>6</w:t>
      </w:r>
    </w:p>
    <w:p>
      <w:pPr>
        <w:pStyle w:val="Normal"/>
        <w:keepLines w:val="false"/>
        <w:widowControl/>
        <w:spacing w:before="288" w:after="288"/>
        <w:jc w:val="end"/>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keepLines w:val="false"/>
        <w:widowControl/>
        <w:spacing w:before="288" w:after="288"/>
        <w:jc w:val="end"/>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color w:val="111111"/>
        </w:rPr>
      </w:pPr>
      <w:r>
        <w:rPr>
          <w:rFonts w:eastAsia="Times New Roman" w:cs="Times New Roman" w:ascii="Times New Roman" w:hAnsi="Times New Roman"/>
          <w:color w:val="111111"/>
          <w:sz w:val="24"/>
          <w:szCs w:val="24"/>
        </w:rPr>
        <w:t>FERNANDA KAMIANECKY</w:t>
      </w:r>
    </w:p>
    <w:p>
      <w:pPr>
        <w:pStyle w:val="Normal"/>
        <w:pBdr/>
        <w:rPr>
          <w:color w:val="111111"/>
        </w:rPr>
      </w:pPr>
      <w:r>
        <w:rPr>
          <w:rFonts w:eastAsia="Times New Roman" w:cs="Times New Roman" w:ascii="Times New Roman" w:hAnsi="Times New Roman"/>
          <w:color w:val="111111"/>
          <w:sz w:val="24"/>
          <w:szCs w:val="24"/>
        </w:rPr>
        <w:t>Secretária Municipal de Licitações e Contratos</w:t>
      </w:r>
      <w:r>
        <w:br w:type="page"/>
      </w:r>
    </w:p>
    <w:p>
      <w:pPr>
        <w:pStyle w:val="Normal"/>
        <w:spacing w:before="0" w:after="288"/>
        <w:rPr>
          <w:color w:val="111111"/>
        </w:rPr>
      </w:pPr>
      <w:r>
        <w:rPr>
          <w:rFonts w:eastAsia="Times New Roman" w:cs="Times New Roman" w:ascii="Times New Roman" w:hAnsi="Times New Roman"/>
          <w:b/>
          <w:bCs/>
          <w:color w:val="111111"/>
          <w:sz w:val="24"/>
          <w:szCs w:val="24"/>
        </w:rPr>
        <w:t xml:space="preserve">EDITAL N.º </w:t>
      </w:r>
      <w:r>
        <w:rPr>
          <w:rFonts w:eastAsia="Times New Roman" w:cs="Times New Roman" w:ascii="Times New Roman" w:hAnsi="Times New Roman"/>
          <w:b/>
          <w:bCs/>
          <w:color w:val="111111"/>
          <w:sz w:val="24"/>
          <w:szCs w:val="24"/>
        </w:rPr>
        <w:t xml:space="preserve">111/2026 - </w:t>
      </w:r>
      <w:r>
        <w:rPr>
          <w:rFonts w:eastAsia="Times New Roman" w:cs="Times New Roman" w:ascii="Times New Roman" w:hAnsi="Times New Roman"/>
          <w:b/>
          <w:bCs/>
          <w:color w:val="111111"/>
          <w:sz w:val="24"/>
          <w:szCs w:val="24"/>
        </w:rPr>
        <w:t>PREGÃO ELETRÔNICO</w:t>
      </w:r>
    </w:p>
    <w:p>
      <w:pPr>
        <w:pStyle w:val="Heading4"/>
        <w:spacing w:before="288" w:after="288"/>
        <w:rPr>
          <w:color w:val="111111"/>
        </w:rPr>
      </w:pPr>
      <w:r>
        <w:rPr>
          <w:color w:val="111111"/>
        </w:rPr>
        <w:t>ANEXO I – TERMO DE REFERÊNCIA</w:t>
      </w:r>
    </w:p>
    <w:p>
      <w:pPr>
        <w:pStyle w:val="Normal"/>
        <w:rPr>
          <w:color w:val="111111"/>
        </w:rPr>
      </w:pPr>
      <w:r>
        <w:rPr>
          <w:color w:val="111111"/>
        </w:rPr>
      </w:r>
    </w:p>
    <w:p>
      <w:pPr>
        <w:pStyle w:val="Heading1"/>
        <w:rPr>
          <w:color w:val="111111"/>
        </w:rPr>
      </w:pPr>
      <w:r>
        <w:rPr>
          <w:color w:val="111111"/>
        </w:rPr>
        <w:t>1. DAS CONDIÇÕES GERAIS DA CONTRATAÇÃO</w:t>
      </w:r>
    </w:p>
    <w:p>
      <w:pPr>
        <w:pStyle w:val="Heading2"/>
        <w:rPr>
          <w:color w:val="111111"/>
        </w:rPr>
      </w:pPr>
      <w:r>
        <w:rPr>
          <w:color w:val="111111"/>
        </w:rPr>
        <w:t>1.1. Da definição do objeto</w:t>
      </w:r>
    </w:p>
    <w:tbl>
      <w:tblPr>
        <w:tblStyle w:val="Tabelacomgrade"/>
        <w:tblW w:w="9061"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9061"/>
      </w:tblGrid>
      <w:tr>
        <w:trPr/>
        <w:tc>
          <w:tcPr>
            <w:tcW w:w="9061" w:type="dxa"/>
            <w:tcBorders/>
          </w:tcPr>
          <w:p>
            <w:pPr>
              <w:pStyle w:val="Normal"/>
              <w:keepLines/>
              <w:widowControl w:val="false"/>
              <w:spacing w:before="0" w:after="0"/>
              <w:jc w:val="both"/>
              <w:rPr>
                <w:rFonts w:ascii="Arial" w:hAnsi="Arial" w:eastAsia="Arial" w:cs="Arial"/>
                <w:color w:val="111111"/>
                <w:kern w:val="0"/>
                <w:sz w:val="22"/>
                <w:szCs w:val="22"/>
                <w:lang w:val="pt-BR" w:eastAsia="pt-BR" w:bidi="ar-SA"/>
              </w:rPr>
            </w:pPr>
            <w:r>
              <w:rPr>
                <w:rFonts w:eastAsia="Times New Roman" w:cs="Times New Roman" w:ascii="Times New Roman" w:hAnsi="Times New Roman"/>
                <w:color w:val="111111"/>
                <w:kern w:val="0"/>
                <w:sz w:val="24"/>
                <w:szCs w:val="24"/>
                <w:lang w:val="pt-BR" w:eastAsia="pt-BR" w:bidi="ar-SA"/>
              </w:rPr>
              <w:t>Contratação, em regime de empreitada por preço global, de pessoa jurídica da área de engenharia para execução de subestação de 112,5kVA para o CORPO DE BOMBEIROS DE CANOAS, Av. Santos Ferreira, 965, bairro Mal, Rondon, com fornecimento de materiais de acordo com o projeto e conforme condições, quantidades e exigências estabelecidas neste instrumento.</w:t>
            </w:r>
          </w:p>
        </w:tc>
      </w:tr>
    </w:tbl>
    <w:p>
      <w:pPr>
        <w:pStyle w:val="Normal"/>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jc w:val="both"/>
        <w:rPr>
          <w:color w:val="111111"/>
        </w:rPr>
      </w:pPr>
      <w:r>
        <w:rPr>
          <w:rFonts w:eastAsia="Times New Roman" w:cs="Times New Roman" w:ascii="Times New Roman" w:hAnsi="Times New Roman"/>
          <w:b/>
          <w:color w:val="111111"/>
          <w:sz w:val="24"/>
          <w:szCs w:val="24"/>
        </w:rPr>
        <w:t xml:space="preserve">1.1.1. </w:t>
      </w:r>
      <w:r>
        <w:rPr>
          <w:rFonts w:eastAsia="Times New Roman" w:cs="Times New Roman" w:ascii="Times New Roman" w:hAnsi="Times New Roman"/>
          <w:color w:val="111111"/>
          <w:sz w:val="24"/>
          <w:szCs w:val="24"/>
        </w:rPr>
        <w:t>Contratação de pessoa jurídica da área de engenharia para execução de subestação de 112,5kVA para o CORPO DE BOMBEIROS DE CANOAS, com fornecimento de materiais de acordo com o projeto e conforme condições, quantidades e exigências estabelecidas neste instrumento.</w:t>
      </w:r>
    </w:p>
    <w:tbl>
      <w:tblPr>
        <w:tblW w:w="9064" w:type="dxa"/>
        <w:jc w:val="start"/>
        <w:tblInd w:w="0" w:type="dxa"/>
        <w:tblLayout w:type="fixed"/>
        <w:tblCellMar>
          <w:top w:w="0" w:type="dxa"/>
          <w:start w:w="100" w:type="dxa"/>
          <w:bottom w:w="0" w:type="dxa"/>
          <w:end w:w="100" w:type="dxa"/>
        </w:tblCellMar>
        <w:tblLook w:val="0600" w:firstRow="0" w:noVBand="1" w:lastRow="0" w:firstColumn="0" w:lastColumn="0" w:noHBand="1"/>
      </w:tblPr>
      <w:tblGrid>
        <w:gridCol w:w="1214"/>
        <w:gridCol w:w="4500"/>
        <w:gridCol w:w="1790"/>
        <w:gridCol w:w="1560"/>
      </w:tblGrid>
      <w:tr>
        <w:trPr>
          <w:trHeight w:val="795" w:hRule="atLeast"/>
        </w:trPr>
        <w:tc>
          <w:tcPr>
            <w:tcW w:w="1214" w:type="dxa"/>
            <w:tcBorders>
              <w:top w:val="single" w:sz="6" w:space="0" w:color="000000"/>
              <w:start w:val="single" w:sz="6" w:space="0" w:color="000000"/>
              <w:bottom w:val="single" w:sz="6" w:space="0" w:color="000000"/>
              <w:end w:val="single" w:sz="6" w:space="0" w:color="000000"/>
            </w:tcBorders>
            <w:shd w:color="auto" w:fill="D9D9D9" w:val="clear"/>
            <w:vAlign w:val="center"/>
          </w:tcPr>
          <w:p>
            <w:pPr>
              <w:pStyle w:val="Normal"/>
              <w:keepLines w:val="false"/>
              <w:widowControl/>
              <w:spacing w:before="200" w:after="288"/>
              <w:rPr>
                <w:color w:val="111111"/>
              </w:rPr>
            </w:pPr>
            <w:r>
              <w:rPr>
                <w:rFonts w:eastAsia="Times New Roman" w:cs="Times New Roman" w:ascii="Times New Roman" w:hAnsi="Times New Roman"/>
                <w:b/>
                <w:color w:val="111111"/>
                <w:sz w:val="20"/>
                <w:szCs w:val="20"/>
              </w:rPr>
              <w:t>Lote / Item</w:t>
            </w:r>
          </w:p>
        </w:tc>
        <w:tc>
          <w:tcPr>
            <w:tcW w:w="4500" w:type="dxa"/>
            <w:tcBorders>
              <w:top w:val="single" w:sz="6" w:space="0" w:color="000000"/>
              <w:bottom w:val="single" w:sz="6" w:space="0" w:color="000000"/>
              <w:end w:val="single" w:sz="6" w:space="0" w:color="000000"/>
            </w:tcBorders>
            <w:shd w:color="auto" w:fill="D9D9D9" w:val="clear"/>
            <w:vAlign w:val="center"/>
          </w:tcPr>
          <w:p>
            <w:pPr>
              <w:pStyle w:val="Normal"/>
              <w:keepLines w:val="false"/>
              <w:widowControl/>
              <w:spacing w:before="200" w:after="288"/>
              <w:jc w:val="both"/>
              <w:rPr>
                <w:color w:val="111111"/>
              </w:rPr>
            </w:pPr>
            <w:r>
              <w:rPr>
                <w:rFonts w:eastAsia="Times New Roman" w:cs="Times New Roman" w:ascii="Times New Roman" w:hAnsi="Times New Roman"/>
                <w:b/>
                <w:color w:val="111111"/>
                <w:sz w:val="20"/>
                <w:szCs w:val="20"/>
              </w:rPr>
              <w:t>Descrição / Especificação</w:t>
            </w:r>
          </w:p>
        </w:tc>
        <w:tc>
          <w:tcPr>
            <w:tcW w:w="1790" w:type="dxa"/>
            <w:tcBorders>
              <w:top w:val="single" w:sz="6" w:space="0" w:color="000000"/>
              <w:bottom w:val="single" w:sz="6" w:space="0" w:color="000000"/>
              <w:end w:val="single" w:sz="6" w:space="0" w:color="000000"/>
            </w:tcBorders>
            <w:shd w:color="auto" w:fill="D9D9D9" w:val="clear"/>
            <w:vAlign w:val="center"/>
          </w:tcPr>
          <w:p>
            <w:pPr>
              <w:pStyle w:val="Normal"/>
              <w:keepLines w:val="false"/>
              <w:widowControl/>
              <w:spacing w:before="200" w:after="288"/>
              <w:rPr>
                <w:color w:val="111111"/>
              </w:rPr>
            </w:pPr>
            <w:r>
              <w:rPr>
                <w:rFonts w:eastAsia="Times New Roman" w:cs="Times New Roman" w:ascii="Times New Roman" w:hAnsi="Times New Roman"/>
                <w:b/>
                <w:color w:val="111111"/>
                <w:sz w:val="20"/>
                <w:szCs w:val="20"/>
              </w:rPr>
              <w:t>Unid. medida</w:t>
            </w:r>
          </w:p>
        </w:tc>
        <w:tc>
          <w:tcPr>
            <w:tcW w:w="1560" w:type="dxa"/>
            <w:tcBorders>
              <w:top w:val="single" w:sz="6" w:space="0" w:color="000000"/>
              <w:bottom w:val="single" w:sz="6" w:space="0" w:color="000000"/>
              <w:end w:val="single" w:sz="6" w:space="0" w:color="000000"/>
            </w:tcBorders>
            <w:shd w:color="auto" w:fill="D9D9D9" w:val="clear"/>
            <w:vAlign w:val="center"/>
          </w:tcPr>
          <w:p>
            <w:pPr>
              <w:pStyle w:val="Normal"/>
              <w:keepLines w:val="false"/>
              <w:widowControl/>
              <w:spacing w:before="200" w:after="288"/>
              <w:rPr>
                <w:color w:val="111111"/>
              </w:rPr>
            </w:pPr>
            <w:r>
              <w:rPr>
                <w:rFonts w:eastAsia="Times New Roman" w:cs="Times New Roman" w:ascii="Times New Roman" w:hAnsi="Times New Roman"/>
                <w:b/>
                <w:color w:val="111111"/>
                <w:sz w:val="20"/>
                <w:szCs w:val="20"/>
              </w:rPr>
              <w:t>Quant.</w:t>
            </w:r>
          </w:p>
        </w:tc>
      </w:tr>
      <w:tr>
        <w:trPr>
          <w:trHeight w:val="915" w:hRule="atLeast"/>
        </w:trPr>
        <w:tc>
          <w:tcPr>
            <w:tcW w:w="1214" w:type="dxa"/>
            <w:tcBorders>
              <w:start w:val="single" w:sz="6" w:space="0" w:color="000000"/>
              <w:bottom w:val="single" w:sz="4" w:space="0" w:color="000000"/>
              <w:end w:val="single" w:sz="6" w:space="0" w:color="000000"/>
            </w:tcBorders>
            <w:vAlign w:val="center"/>
          </w:tcPr>
          <w:p>
            <w:pPr>
              <w:pStyle w:val="Normal"/>
              <w:keepLines w:val="false"/>
              <w:widowControl/>
              <w:spacing w:before="200" w:after="288"/>
              <w:rPr>
                <w:color w:val="111111"/>
              </w:rPr>
            </w:pPr>
            <w:r>
              <w:rPr>
                <w:rFonts w:eastAsia="Times New Roman" w:cs="Times New Roman" w:ascii="Times New Roman" w:hAnsi="Times New Roman"/>
                <w:color w:val="111111"/>
                <w:sz w:val="20"/>
                <w:szCs w:val="20"/>
              </w:rPr>
              <w:t>1</w:t>
            </w:r>
          </w:p>
        </w:tc>
        <w:tc>
          <w:tcPr>
            <w:tcW w:w="4500" w:type="dxa"/>
            <w:tcBorders>
              <w:bottom w:val="single" w:sz="4" w:space="0" w:color="000000"/>
              <w:end w:val="single" w:sz="6" w:space="0" w:color="000000"/>
            </w:tcBorders>
            <w:vAlign w:val="center"/>
          </w:tcPr>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Execução de subestação de 112,5kVA, conforme projeto aprovado pela RGE.</w:t>
            </w:r>
          </w:p>
        </w:tc>
        <w:tc>
          <w:tcPr>
            <w:tcW w:w="1790" w:type="dxa"/>
            <w:tcBorders>
              <w:bottom w:val="single" w:sz="4" w:space="0" w:color="000000"/>
              <w:end w:val="single" w:sz="6" w:space="0" w:color="000000"/>
            </w:tcBorders>
            <w:vAlign w:val="center"/>
          </w:tcPr>
          <w:p>
            <w:pPr>
              <w:pStyle w:val="Normal"/>
              <w:keepLines w:val="false"/>
              <w:widowControl/>
              <w:spacing w:before="200" w:after="288"/>
              <w:rPr>
                <w:color w:val="111111"/>
              </w:rPr>
            </w:pPr>
            <w:r>
              <w:rPr>
                <w:rFonts w:eastAsia="Times New Roman" w:cs="Times New Roman" w:ascii="Times New Roman" w:hAnsi="Times New Roman"/>
                <w:color w:val="111111"/>
                <w:sz w:val="20"/>
                <w:szCs w:val="20"/>
              </w:rPr>
              <w:t>UN</w:t>
            </w:r>
          </w:p>
        </w:tc>
        <w:tc>
          <w:tcPr>
            <w:tcW w:w="1560" w:type="dxa"/>
            <w:tcBorders>
              <w:bottom w:val="single" w:sz="4" w:space="0" w:color="000000"/>
              <w:end w:val="single" w:sz="6" w:space="0" w:color="000000"/>
            </w:tcBorders>
            <w:vAlign w:val="center"/>
          </w:tcPr>
          <w:p>
            <w:pPr>
              <w:pStyle w:val="Normal"/>
              <w:keepLines w:val="false"/>
              <w:widowControl/>
              <w:spacing w:before="200" w:after="288"/>
              <w:rPr>
                <w:color w:val="111111"/>
              </w:rPr>
            </w:pPr>
            <w:r>
              <w:rPr>
                <w:rFonts w:eastAsia="Times New Roman" w:cs="Times New Roman" w:ascii="Times New Roman" w:hAnsi="Times New Roman"/>
                <w:color w:val="111111"/>
                <w:sz w:val="20"/>
                <w:szCs w:val="20"/>
              </w:rPr>
              <w:t>1</w:t>
            </w:r>
          </w:p>
        </w:tc>
      </w:tr>
      <w:tr>
        <w:trPr>
          <w:trHeight w:val="405" w:hRule="atLeast"/>
        </w:trPr>
        <w:tc>
          <w:tcPr>
            <w:tcW w:w="7504" w:type="dxa"/>
            <w:gridSpan w:val="3"/>
            <w:tcBorders>
              <w:top w:val="single" w:sz="4" w:space="0" w:color="000000"/>
              <w:start w:val="single" w:sz="4" w:space="0" w:color="000000"/>
              <w:bottom w:val="single" w:sz="4" w:space="0" w:color="000000"/>
              <w:end w:val="single" w:sz="4" w:space="0" w:color="000000"/>
            </w:tcBorders>
            <w:vAlign w:val="center"/>
          </w:tcPr>
          <w:p>
            <w:pPr>
              <w:pStyle w:val="Normal"/>
              <w:keepLines w:val="false"/>
              <w:widowControl/>
              <w:spacing w:before="200" w:after="288"/>
              <w:jc w:val="end"/>
              <w:rPr>
                <w:color w:val="111111"/>
              </w:rPr>
            </w:pPr>
            <w:r>
              <w:rPr>
                <w:rFonts w:eastAsia="Times New Roman" w:cs="Times New Roman" w:ascii="Times New Roman" w:hAnsi="Times New Roman"/>
                <w:b/>
                <w:color w:val="111111"/>
                <w:sz w:val="20"/>
                <w:szCs w:val="20"/>
              </w:rPr>
              <w:t>TOTAL</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keepLines w:val="false"/>
              <w:widowControl/>
              <w:spacing w:before="200" w:after="288"/>
              <w:rPr>
                <w:color w:val="111111"/>
              </w:rPr>
            </w:pPr>
            <w:r>
              <w:rPr>
                <w:rFonts w:eastAsia="Times New Roman" w:cs="Times New Roman" w:ascii="Times New Roman" w:hAnsi="Times New Roman"/>
                <w:b/>
                <w:color w:val="111111"/>
                <w:sz w:val="20"/>
                <w:szCs w:val="20"/>
              </w:rPr>
              <w:t>1</w:t>
            </w:r>
          </w:p>
        </w:tc>
      </w:tr>
    </w:tbl>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1.1.2. </w:t>
      </w:r>
      <w:r>
        <w:rPr>
          <w:rFonts w:eastAsia="Times New Roman" w:cs="Times New Roman" w:ascii="Times New Roman" w:hAnsi="Times New Roman"/>
          <w:color w:val="111111"/>
          <w:sz w:val="24"/>
          <w:szCs w:val="24"/>
        </w:rPr>
        <w:t>Para a completa execução do objeto, conforme os projetos e demais documentos técnicos, o fornecimento de materiais e de mão de obra deverão estar incluídos no valor da contratação e serão de responsabilidade da CONTRATADA;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1.1.3. </w:t>
      </w:r>
      <w:r>
        <w:rPr>
          <w:rFonts w:eastAsia="Times New Roman" w:cs="Times New Roman" w:ascii="Times New Roman" w:hAnsi="Times New Roman"/>
          <w:color w:val="111111"/>
          <w:sz w:val="24"/>
          <w:szCs w:val="24"/>
        </w:rPr>
        <w:t>A descrição detalhada do (s) item (ns) e a(s) quantidade(s) da contratação encontram-se no Anexo I deste Termo de Referência.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1.1.4. </w:t>
      </w:r>
      <w:r>
        <w:rPr>
          <w:rFonts w:eastAsia="Times New Roman" w:cs="Times New Roman" w:ascii="Times New Roman" w:hAnsi="Times New Roman"/>
          <w:color w:val="111111"/>
          <w:sz w:val="24"/>
          <w:szCs w:val="24"/>
        </w:rPr>
        <w:t>O Estudo Técnico Preliminar é um documento preparatório ao Termo de Referência, sendo que na ocorrência de alguma divergência entre ambos, prevalecerá o disposto neste Termo de Referência.</w:t>
      </w:r>
    </w:p>
    <w:p>
      <w:pPr>
        <w:pStyle w:val="Heading2"/>
        <w:rPr>
          <w:color w:val="111111"/>
        </w:rPr>
      </w:pPr>
      <w:r>
        <w:rPr>
          <w:color w:val="111111"/>
        </w:rPr>
        <w:t>1.2. Da estimativa do valor da contratação e preço(s) máximo(s)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1.2.1. </w:t>
      </w:r>
      <w:r>
        <w:rPr>
          <w:rFonts w:eastAsia="Times New Roman" w:cs="Times New Roman" w:ascii="Times New Roman" w:hAnsi="Times New Roman"/>
          <w:color w:val="111111"/>
          <w:sz w:val="24"/>
          <w:szCs w:val="24"/>
        </w:rPr>
        <w:t>O custo estimado da contratação, bem como o(s) preço(s) máximo(s) unitário(s) e do(s) lote(s), quando for o caso, consta(m) nos Anexos deste Termo de Referência.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1.2.2. </w:t>
      </w:r>
      <w:r>
        <w:rPr>
          <w:rFonts w:eastAsia="Times New Roman" w:cs="Times New Roman" w:ascii="Times New Roman" w:hAnsi="Times New Roman"/>
          <w:color w:val="111111"/>
          <w:sz w:val="24"/>
          <w:szCs w:val="24"/>
        </w:rPr>
        <w:t>Os serviços e respectivos quantitativos apresentados no Anexo I estão discriminados com seus códigos e valores unitários máximo aceitáveis, composições, Cronograma Físico/Financeiro, BDI e tabela de consulta de preços conforme descritos a seguir:</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12.2.2.1 </w:t>
      </w:r>
      <w:r>
        <w:rPr>
          <w:rFonts w:eastAsia="Times New Roman" w:cs="Times New Roman" w:ascii="Times New Roman" w:hAnsi="Times New Roman"/>
          <w:color w:val="111111"/>
          <w:sz w:val="24"/>
          <w:szCs w:val="24"/>
        </w:rPr>
        <w:t>A Planilha Orçamentária foi concebida inicialmente pelo resultado dos quantitativos de serviços necessários à execução do objeto, extraídos do Projeto Básico/Executivo. Para a composição dos serviços e seus respectivos preços, foi utilizada a Tabela SINAPI não desonerada com data base de setembro/2025. Já os serviços que não constam diretamente listados na tabela foi elaborada a composição de itens da mesma tabela ou mesclado com valores de outras fontes de consulta. Na Planilha Orçamentária é apresentado a fonte de consulta, o código do produto nesta fonte ou o código da composição ou o código da consulta de mercado, a descrição do serviço, o quantitativo, o valor unitário sem BDI, Valor unitário com BDI, Valor Total com BDI, bem como cabeçalho com descrição da obra, data base de consulta e índices de BDI aplicados.</w:t>
      </w:r>
    </w:p>
    <w:p>
      <w:pPr>
        <w:pStyle w:val="Normal"/>
        <w:keepLines w:val="false"/>
        <w:widowControl/>
        <w:jc w:val="both"/>
        <w:rPr>
          <w:color w:val="111111"/>
        </w:rPr>
      </w:pPr>
      <w:r>
        <w:rPr>
          <w:rFonts w:eastAsia="Times New Roman" w:cs="Times New Roman" w:ascii="Times New Roman" w:hAnsi="Times New Roman"/>
          <w:b/>
          <w:color w:val="111111"/>
          <w:sz w:val="24"/>
          <w:szCs w:val="24"/>
        </w:rPr>
        <w:t>12.2.2.2</w:t>
      </w:r>
      <w:r>
        <w:rPr>
          <w:rFonts w:eastAsia="Times New Roman" w:cs="Times New Roman" w:ascii="Times New Roman" w:hAnsi="Times New Roman"/>
          <w:color w:val="111111"/>
          <w:sz w:val="24"/>
          <w:szCs w:val="24"/>
        </w:rPr>
        <w:t xml:space="preserve"> Foi utilizada a tabela SINAPI, levando em conta a natureza do objeto, pois de acordo com o previsto no §2° do Art. 23 da Lei Federal n° 14.133/2021, no processo licitatório para contratação de Obras e Serviços de Engenharia, conforme regulamento, o valor estimado, acrescido do percentual de Benefícios e Despesas Indiretas (BDI) de referência e dos Encargos Sociais (ES) cabíveis, será definido por meio da utilização de parâmetros na seguinte ordem:</w:t>
      </w:r>
    </w:p>
    <w:p>
      <w:pPr>
        <w:pStyle w:val="Normal"/>
        <w:keepLines w:val="false"/>
        <w:widowControl/>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keepLines w:val="false"/>
        <w:widowControl/>
        <w:jc w:val="both"/>
        <w:rPr>
          <w:color w:val="111111"/>
        </w:rPr>
      </w:pPr>
      <w:r>
        <w:rPr>
          <w:rFonts w:eastAsia="Times New Roman" w:cs="Times New Roman" w:ascii="Times New Roman" w:hAnsi="Times New Roman"/>
          <w:color w:val="111111"/>
          <w:sz w:val="24"/>
          <w:szCs w:val="24"/>
        </w:rPr>
        <w:t>I - composição de custos unitários menores ou iguais à mediana do item correspondente do Sistema de Custos Referenciais de Obras (Sicro), para serviços e obras de infraestrutura de transportes, ou do Sistema Nacional de Pesquisa de Custos e Índices de Construção Civil (Sinapi), para as demais obras e serviços de engenharia;</w:t>
      </w:r>
    </w:p>
    <w:p>
      <w:pPr>
        <w:pStyle w:val="Normal"/>
        <w:keepLines w:val="false"/>
        <w:widowControl/>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keepLines w:val="false"/>
        <w:widowControl/>
        <w:jc w:val="both"/>
        <w:rPr>
          <w:color w:val="111111"/>
        </w:rPr>
      </w:pPr>
      <w:r>
        <w:rPr>
          <w:rFonts w:eastAsia="Times New Roman" w:cs="Times New Roman" w:ascii="Times New Roman" w:hAnsi="Times New Roman"/>
          <w:color w:val="111111"/>
          <w:sz w:val="24"/>
          <w:szCs w:val="24"/>
        </w:rPr>
        <w:t>II - utilização de dados de pesquisa publicada em mídia especializada, de tabela de referência formalmente aprovada pelo Poder Executivo federal e de sítios eletrônicos especializados ou de domínio amplo, desde que contenham a data e hora de acesso;</w:t>
      </w:r>
    </w:p>
    <w:p>
      <w:pPr>
        <w:pStyle w:val="Normal"/>
        <w:keepLines w:val="false"/>
        <w:widowControl/>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keepLines w:val="false"/>
        <w:widowControl/>
        <w:jc w:val="both"/>
        <w:rPr>
          <w:color w:val="111111"/>
        </w:rPr>
      </w:pPr>
      <w:r>
        <w:rPr>
          <w:rFonts w:eastAsia="Times New Roman" w:cs="Times New Roman" w:ascii="Times New Roman" w:hAnsi="Times New Roman"/>
          <w:color w:val="111111"/>
          <w:sz w:val="24"/>
          <w:szCs w:val="24"/>
        </w:rPr>
        <w:t>III - contratações similares feitas pela Administração Pública, em execução ou concluídas no período de 1 (um) ano anterior à data da pesquisa de preços, observado o índice de atualização de preços correspondente;</w:t>
      </w:r>
    </w:p>
    <w:p>
      <w:pPr>
        <w:pStyle w:val="Normal"/>
        <w:keepLines w:val="false"/>
        <w:widowControl/>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keepLines w:val="false"/>
        <w:widowControl/>
        <w:jc w:val="both"/>
        <w:rPr>
          <w:color w:val="111111"/>
        </w:rPr>
      </w:pPr>
      <w:r>
        <w:rPr>
          <w:rFonts w:eastAsia="Times New Roman" w:cs="Times New Roman" w:ascii="Times New Roman" w:hAnsi="Times New Roman"/>
          <w:color w:val="111111"/>
          <w:sz w:val="24"/>
          <w:szCs w:val="24"/>
        </w:rPr>
        <w:t>IV - pesquisa na base nacional de notas fiscais eletrônicas, na forma de regulamento.</w:t>
      </w:r>
    </w:p>
    <w:p>
      <w:pPr>
        <w:pStyle w:val="Normal"/>
        <w:keepLines w:val="false"/>
        <w:widowControl/>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Heading2"/>
        <w:rPr>
          <w:color w:val="111111"/>
        </w:rPr>
      </w:pPr>
      <w:r>
        <w:rPr>
          <w:color w:val="111111"/>
        </w:rPr>
        <w:t>1.3. Da classificação do objeto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1.3.1. </w:t>
      </w:r>
      <w:r>
        <w:rPr>
          <w:rFonts w:eastAsia="Times New Roman" w:cs="Times New Roman" w:ascii="Times New Roman" w:hAnsi="Times New Roman"/>
          <w:color w:val="111111"/>
          <w:sz w:val="24"/>
          <w:szCs w:val="24"/>
        </w:rPr>
        <w:t>O objeto desta contratação se enquadra na descrição de natureza de serviço comum de engenharia/arquitetura, aqueles que tem por objeto ações, objetivamente padronizáveis em termos de desempenho e qualidade, de manutenção, de adequação e de adaptação de bens móveis e imóveis, com preservação das características originais dos bens; conforme o disposto no art. 6º, XXI, “a”, da Lei n.º 14.133/21 e no Estudo Técnico Preliminar.</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1.3.2. </w:t>
      </w:r>
      <w:r>
        <w:rPr>
          <w:rFonts w:eastAsia="Times New Roman" w:cs="Times New Roman" w:ascii="Times New Roman" w:hAnsi="Times New Roman"/>
          <w:color w:val="111111"/>
          <w:sz w:val="24"/>
          <w:szCs w:val="24"/>
        </w:rPr>
        <w:t>Trata-se de serviço comum de engenharia, sem dedicação exclusiva de mão-de-obra.</w:t>
      </w:r>
    </w:p>
    <w:p>
      <w:pPr>
        <w:pStyle w:val="Heading2"/>
        <w:rPr>
          <w:color w:val="111111"/>
        </w:rPr>
      </w:pPr>
      <w:r>
        <w:rPr>
          <w:color w:val="111111"/>
        </w:rPr>
        <w:t>1.4. Da vigência da contratação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1.4.1.</w:t>
      </w:r>
      <w:r>
        <w:rPr>
          <w:rFonts w:eastAsia="Times New Roman" w:cs="Times New Roman" w:ascii="Times New Roman" w:hAnsi="Times New Roman"/>
          <w:color w:val="111111"/>
          <w:sz w:val="24"/>
          <w:szCs w:val="24"/>
        </w:rPr>
        <w:t xml:space="preserve"> A vigência da contratação será de 3 (três) meses, a contar da data estabelecida na Ordem de Início de Serviços, podendo ser prorrogada na forma do art. 111 da Lei n.º 14.133/2021.</w:t>
      </w:r>
    </w:p>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1.4.1.1. Não serão admitidos aditivos contratuais após a entrega total dos quantitativos previstos neste Termo de Referência, quando cabível.</w:t>
      </w:r>
    </w:p>
    <w:p>
      <w:pPr>
        <w:pStyle w:val="Heading1"/>
        <w:rPr>
          <w:color w:val="111111"/>
        </w:rPr>
      </w:pPr>
      <w:r>
        <w:rPr>
          <w:color w:val="111111"/>
        </w:rPr>
        <w:t>2. DA FUNDAMENTAÇÃO, DA DESCRIÇÃO DA NECESSIDADE DA CONTRATAÇÃO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2.1. </w:t>
      </w:r>
      <w:r>
        <w:rPr>
          <w:rFonts w:eastAsia="Times New Roman" w:cs="Times New Roman" w:ascii="Times New Roman" w:hAnsi="Times New Roman"/>
          <w:color w:val="111111"/>
          <w:sz w:val="24"/>
          <w:szCs w:val="24"/>
        </w:rPr>
        <w:t>A fundamentação e a descrição da necessidade da contratação encontram-se pormenorizadas em tópicos específicos do Estudo Técnico Preliminar.</w:t>
      </w:r>
    </w:p>
    <w:p>
      <w:pPr>
        <w:pStyle w:val="Heading1"/>
        <w:rPr>
          <w:color w:val="111111"/>
        </w:rPr>
      </w:pPr>
      <w:r>
        <w:rPr>
          <w:color w:val="111111"/>
        </w:rPr>
        <w:t>3. DA DESCRIÇÃO DA SOLUÇÃO COMO UM TODO CONSIDERADO O CICLO DE VIDA E ESPECIFICAÇÃO DO OBJETO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3.1. </w:t>
      </w:r>
      <w:r>
        <w:rPr>
          <w:rFonts w:eastAsia="Times New Roman" w:cs="Times New Roman" w:ascii="Times New Roman" w:hAnsi="Times New Roman"/>
          <w:color w:val="111111"/>
          <w:sz w:val="24"/>
          <w:szCs w:val="24"/>
        </w:rPr>
        <w:t>A descrição da solução como um todo encontra-se pormenorizada em tópico específico do Estudo Técnico Preliminar.</w:t>
      </w:r>
    </w:p>
    <w:p>
      <w:pPr>
        <w:pStyle w:val="Heading1"/>
        <w:rPr>
          <w:color w:val="111111"/>
        </w:rPr>
      </w:pPr>
      <w:r>
        <w:rPr>
          <w:color w:val="111111"/>
        </w:rPr>
        <w:t>4. DOS REQUISITOS DA CONTRATAÇÃO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4.1. </w:t>
      </w:r>
      <w:r>
        <w:rPr>
          <w:rFonts w:eastAsia="Times New Roman" w:cs="Times New Roman" w:ascii="Times New Roman" w:hAnsi="Times New Roman"/>
          <w:color w:val="111111"/>
          <w:sz w:val="24"/>
          <w:szCs w:val="24"/>
        </w:rPr>
        <w:t>Os requisitos da contratação encontram-se pormenorizados em tópico específico do Estudo Técnico Preliminar.</w:t>
      </w:r>
    </w:p>
    <w:p>
      <w:pPr>
        <w:pStyle w:val="Heading1"/>
        <w:rPr>
          <w:color w:val="111111"/>
        </w:rPr>
      </w:pPr>
      <w:r>
        <w:rPr>
          <w:color w:val="111111"/>
        </w:rPr>
        <w:t>5. DOS CRITÉRIOS DE SUSTENTABILIDADE</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5.1. </w:t>
      </w:r>
      <w:r>
        <w:rPr>
          <w:rFonts w:eastAsia="Times New Roman" w:cs="Times New Roman" w:ascii="Times New Roman" w:hAnsi="Times New Roman"/>
          <w:color w:val="111111"/>
          <w:sz w:val="24"/>
          <w:szCs w:val="24"/>
        </w:rPr>
        <w:t>Os critérios de sustentabilidade encontram-se pormenorizados no tópico Descrição dos Requisitos da Contratação do Estudo Técnico Preliminar.</w:t>
      </w:r>
    </w:p>
    <w:p>
      <w:pPr>
        <w:pStyle w:val="Heading1"/>
        <w:rPr>
          <w:color w:val="111111"/>
        </w:rPr>
      </w:pPr>
      <w:r>
        <w:rPr>
          <w:color w:val="111111"/>
        </w:rPr>
        <w:t>6. DO MODELO DE EXECUÇÃO CONTRATUAL</w:t>
      </w:r>
    </w:p>
    <w:p>
      <w:pPr>
        <w:pStyle w:val="Heading2"/>
        <w:rPr>
          <w:color w:val="111111"/>
        </w:rPr>
      </w:pPr>
      <w:r>
        <w:rPr>
          <w:color w:val="111111"/>
        </w:rPr>
        <w:t>6.1. O(s) prazo(s) de execução do objeto deverá(ão) atender aos seguintes critérios: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a)</w:t>
      </w:r>
      <w:r>
        <w:rPr>
          <w:rFonts w:eastAsia="Times New Roman" w:cs="Times New Roman" w:ascii="Times New Roman" w:hAnsi="Times New Roman"/>
          <w:color w:val="111111"/>
          <w:sz w:val="24"/>
          <w:szCs w:val="24"/>
        </w:rPr>
        <w:t xml:space="preserve"> para todos os itens, não poderá ser superior a 2 (dois) meses consecutivos, a contar da data estabelecida na Ordem de Início de Serviços, podendo ser prorrogado.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6.1.2. </w:t>
      </w:r>
      <w:r>
        <w:rPr>
          <w:rFonts w:eastAsia="Times New Roman" w:cs="Times New Roman" w:ascii="Times New Roman" w:hAnsi="Times New Roman"/>
          <w:color w:val="111111"/>
          <w:sz w:val="24"/>
          <w:szCs w:val="24"/>
        </w:rPr>
        <w:t>Caso não seja possível fornecer o objeto na data prevista, a CONTRATADA deverá comunicar o CONTRATANTE das razões respectivas, com pelo menos 30 (trinta) dias consecutivos de antecedência, para que qualquer pleito de prorrogação de prazo seja analisado pela Secretaria requisitante, ressalvadas situações de caso fortuito e força maior.</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highlight w:val="white"/>
        </w:rPr>
        <w:t xml:space="preserve">6.1.3. </w:t>
      </w:r>
      <w:r>
        <w:rPr>
          <w:rFonts w:eastAsia="Times New Roman" w:cs="Times New Roman" w:ascii="Times New Roman" w:hAnsi="Times New Roman"/>
          <w:color w:val="111111"/>
          <w:sz w:val="24"/>
          <w:szCs w:val="24"/>
          <w:highlight w:val="white"/>
        </w:rPr>
        <w:t xml:space="preserve">A CONTRATADA deverá, obrigatoriamente, entregar a totalidade do objeto solicitado, sob pena de aplicação das sanções previstas neste Termo de Referência </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6.1.4.</w:t>
      </w:r>
      <w:r>
        <w:rPr>
          <w:rFonts w:eastAsia="Times New Roman" w:cs="Times New Roman" w:ascii="Times New Roman" w:hAnsi="Times New Roman"/>
          <w:color w:val="111111"/>
          <w:sz w:val="24"/>
          <w:szCs w:val="24"/>
        </w:rPr>
        <w:t xml:space="preserve"> O número do empenho ou outro instrumento hábil deverá vir indicado na nota fiscal. Não serão aceitas nota(s) fiscal(is) que não estejam rigorosamente de acordo com o empenho ou outro instrumento hábil.</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6.1.5.1.</w:t>
      </w:r>
      <w:r>
        <w:rPr>
          <w:rFonts w:eastAsia="Times New Roman" w:cs="Times New Roman" w:ascii="Times New Roman" w:hAnsi="Times New Roman"/>
          <w:color w:val="111111"/>
          <w:sz w:val="24"/>
          <w:szCs w:val="24"/>
        </w:rPr>
        <w:t xml:space="preserve"> Em se tratando de contrato de repasse, por exigência do regramento vinculado, o número do contrato de repasse, bem como, o número e o nome do respectivo Programa de Governo, deverão vir indicados na nota fiscal. </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6.1.6.</w:t>
      </w:r>
      <w:r>
        <w:rPr>
          <w:rFonts w:eastAsia="Times New Roman" w:cs="Times New Roman" w:ascii="Times New Roman" w:hAnsi="Times New Roman"/>
          <w:color w:val="111111"/>
          <w:sz w:val="24"/>
          <w:szCs w:val="24"/>
        </w:rPr>
        <w:t xml:space="preserve"> Todo e qualquer fornecimento de objeto fora do estabelecido neste Termo de Referência será, imediatamente, notificada a CONTRATADA, que ficará obrigada a substituí-lo no prazo estipulado pelo fiscal do contrato, ficando entendido que correrá por sua conta e risco tal substituição, sujeitando-se, também, às sanções previstas neste Termo de Referência.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6.1.6.1.</w:t>
      </w:r>
      <w:r>
        <w:rPr>
          <w:rFonts w:eastAsia="Times New Roman" w:cs="Times New Roman" w:ascii="Times New Roman" w:hAnsi="Times New Roman"/>
          <w:color w:val="111111"/>
          <w:sz w:val="24"/>
          <w:szCs w:val="24"/>
        </w:rPr>
        <w:t xml:space="preserve"> A notificação de que trata o item anterior poderá ocorrer via correio eletrônico (e-mail), desde que haja confirmação de recebimento pela CONTRATADA.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6.1.7. </w:t>
      </w:r>
      <w:r>
        <w:rPr>
          <w:rFonts w:eastAsia="Times New Roman" w:cs="Times New Roman" w:ascii="Times New Roman" w:hAnsi="Times New Roman"/>
          <w:color w:val="111111"/>
          <w:sz w:val="24"/>
          <w:szCs w:val="24"/>
        </w:rPr>
        <w:t>O mero recebimento do objeto não caracteriza a aceitação do mesmo.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6.1.8. </w:t>
      </w:r>
      <w:r>
        <w:rPr>
          <w:rFonts w:eastAsia="Times New Roman" w:cs="Times New Roman" w:ascii="Times New Roman" w:hAnsi="Times New Roman"/>
          <w:color w:val="111111"/>
          <w:sz w:val="24"/>
          <w:szCs w:val="24"/>
        </w:rPr>
        <w:t>Os itens deverão estar compatíveis com as normas da ABNT (Associação Brasileira de Normas Técnicas), quando aplicável.</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6.1.9. </w:t>
      </w:r>
      <w:r>
        <w:rPr>
          <w:rFonts w:eastAsia="Times New Roman" w:cs="Times New Roman" w:ascii="Times New Roman" w:hAnsi="Times New Roman"/>
          <w:color w:val="111111"/>
          <w:sz w:val="24"/>
          <w:szCs w:val="24"/>
        </w:rPr>
        <w:t>A CONTRATADA deverá apresentar ao Fiscal do Contrato, no prazo estabelecido pelo mesmo, mediante notificação por escrito, o(s) seguinte(s) documento(s):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6.1.9.1. </w:t>
      </w:r>
      <w:r>
        <w:rPr>
          <w:rFonts w:eastAsia="Times New Roman" w:cs="Times New Roman" w:ascii="Times New Roman" w:hAnsi="Times New Roman"/>
          <w:color w:val="111111"/>
          <w:sz w:val="24"/>
          <w:szCs w:val="24"/>
        </w:rPr>
        <w:t>Registro ou inscrição na entidade profissional competente com o visto regional, quando assim exigir a entidade, caso a licitante tenha apresentado o registro ou a inscrição, expedidos por Conselho de outra região, cuja circunscrição não seja o Estado do Rio Grande do Sul.</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6.1.9.2.</w:t>
      </w:r>
      <w:r>
        <w:rPr>
          <w:rFonts w:eastAsia="Times New Roman" w:cs="Times New Roman" w:ascii="Times New Roman" w:hAnsi="Times New Roman"/>
          <w:color w:val="111111"/>
          <w:sz w:val="24"/>
          <w:szCs w:val="24"/>
        </w:rPr>
        <w:t xml:space="preserve"> ART(s) ou RRT(s) de execução devidamente paga (s). </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6.1.10. </w:t>
      </w:r>
      <w:r>
        <w:rPr>
          <w:rFonts w:eastAsia="Times New Roman" w:cs="Times New Roman" w:ascii="Times New Roman" w:hAnsi="Times New Roman"/>
          <w:color w:val="111111"/>
          <w:sz w:val="24"/>
          <w:szCs w:val="24"/>
        </w:rPr>
        <w:t xml:space="preserve"> Por exigência do regramento vinculado, sendo condicionante para os pagamentos, a CONTRATADA deverá apresentar ao Fiscal do Contrato: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6.1.10.1.</w:t>
      </w:r>
      <w:r>
        <w:rPr>
          <w:rFonts w:eastAsia="Times New Roman" w:cs="Times New Roman" w:ascii="Times New Roman" w:hAnsi="Times New Roman"/>
          <w:color w:val="111111"/>
          <w:sz w:val="24"/>
          <w:szCs w:val="24"/>
        </w:rPr>
        <w:t xml:space="preserve"> No início das obras, o Registro da Obra no CNO – Cadastro Nacional de Obras;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6.1.10.2</w:t>
      </w:r>
      <w:r>
        <w:rPr>
          <w:rFonts w:eastAsia="Times New Roman" w:cs="Times New Roman" w:ascii="Times New Roman" w:hAnsi="Times New Roman"/>
          <w:color w:val="111111"/>
          <w:sz w:val="24"/>
          <w:szCs w:val="24"/>
        </w:rPr>
        <w:t>. No final das obras, a Certidão de Regularidade Fiscal da Obra (CND - Certidão Negativa de Débitos).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6.2.</w:t>
      </w:r>
      <w:r>
        <w:rPr>
          <w:rFonts w:eastAsia="Times New Roman" w:cs="Times New Roman" w:ascii="Times New Roman" w:hAnsi="Times New Roman"/>
          <w:color w:val="111111"/>
          <w:sz w:val="24"/>
          <w:szCs w:val="24"/>
        </w:rPr>
        <w:t xml:space="preserve"> O preço ofertado não será alterado nas substituições da apresentação do objeto ofertado.</w:t>
      </w:r>
    </w:p>
    <w:p>
      <w:pPr>
        <w:pStyle w:val="Heading2"/>
        <w:rPr>
          <w:color w:val="111111"/>
        </w:rPr>
      </w:pPr>
      <w:r>
        <w:rPr>
          <w:color w:val="111111"/>
        </w:rPr>
        <w:t>6.3. Da documentação necessária na entrega do objeto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6.3.1.</w:t>
      </w:r>
      <w:r>
        <w:rPr>
          <w:rFonts w:eastAsia="Times New Roman" w:cs="Times New Roman" w:ascii="Times New Roman" w:hAnsi="Times New Roman"/>
          <w:color w:val="111111"/>
          <w:sz w:val="24"/>
          <w:szCs w:val="24"/>
        </w:rPr>
        <w:t xml:space="preserve"> Esta exigência não se aplica a esta contratação.</w:t>
      </w:r>
    </w:p>
    <w:p>
      <w:pPr>
        <w:pStyle w:val="Heading2"/>
        <w:rPr>
          <w:color w:val="111111"/>
        </w:rPr>
      </w:pPr>
      <w:r>
        <w:rPr>
          <w:color w:val="111111"/>
        </w:rPr>
        <w:t>6.4. Do Regime de Execução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6.4.1. </w:t>
      </w:r>
      <w:r>
        <w:rPr>
          <w:rFonts w:eastAsia="Times New Roman" w:cs="Times New Roman" w:ascii="Times New Roman" w:hAnsi="Times New Roman"/>
          <w:color w:val="111111"/>
          <w:sz w:val="24"/>
          <w:szCs w:val="24"/>
        </w:rPr>
        <w:t>A presente contratação adotará como regime de execução a empreitada por preço global, nos termos do art. 6º, da Lei n.º 14.133/2021.</w:t>
      </w:r>
    </w:p>
    <w:p>
      <w:pPr>
        <w:pStyle w:val="Heading1"/>
        <w:rPr>
          <w:color w:val="111111"/>
        </w:rPr>
      </w:pPr>
      <w:r>
        <w:rPr>
          <w:color w:val="111111"/>
        </w:rPr>
        <w:t>7. DA VISTORIA PARA LICITAÇÃO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7.1.</w:t>
      </w:r>
      <w:r>
        <w:rPr>
          <w:rFonts w:eastAsia="Times New Roman" w:cs="Times New Roman" w:ascii="Times New Roman" w:hAnsi="Times New Roman"/>
          <w:color w:val="111111"/>
          <w:sz w:val="24"/>
          <w:szCs w:val="24"/>
        </w:rPr>
        <w:tab/>
        <w:t>Para o correto dimensionamento e elaboração de sua proposta, o licitante poderá realizar vistoria nas instalações do local de execução dos serviços, acompanhado por servidor designado para esse fim, de segunda à sexta-feira, das 12:00 horas às 18:00 horas, devendo o agendamento ser efetuado previamente na Secretaria Municipal de Projetos e Captação de Recursos - SMPCR, pelo telefone (51) 3425-7650.</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7.2.</w:t>
      </w:r>
      <w:r>
        <w:rPr>
          <w:rFonts w:eastAsia="Times New Roman" w:cs="Times New Roman" w:ascii="Times New Roman" w:hAnsi="Times New Roman"/>
          <w:color w:val="111111"/>
          <w:sz w:val="24"/>
          <w:szCs w:val="24"/>
        </w:rPr>
        <w:t xml:space="preserve">   O prazo para vistoria iniciar-se-á no dia útil seguinte ao da publicação do Edital, estendendo-se até o dia útil anterior à data prevista para a abertura da sessão pública.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7.2.1.</w:t>
      </w:r>
      <w:r>
        <w:rPr>
          <w:rFonts w:eastAsia="Times New Roman" w:cs="Times New Roman" w:ascii="Times New Roman" w:hAnsi="Times New Roman"/>
          <w:color w:val="111111"/>
          <w:sz w:val="24"/>
          <w:szCs w:val="24"/>
        </w:rPr>
        <w:t xml:space="preserve">   Para a vistoria o licitante, ou o seu representante legal, deverá estar devidamente identificado, apresentando documento de identidade civil e documento expedido pela empresa comprovando sua habilitação para a realização da vistoria.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7.3.</w:t>
      </w:r>
      <w:r>
        <w:rPr>
          <w:rFonts w:eastAsia="Times New Roman" w:cs="Times New Roman" w:ascii="Times New Roman" w:hAnsi="Times New Roman"/>
          <w:color w:val="111111"/>
          <w:sz w:val="24"/>
          <w:szCs w:val="24"/>
        </w:rPr>
        <w:t xml:space="preserve">   Por ocasião da vistoria, ao licitante, ou ao seu representante legal, poderão ser disponibilizadas as informações via “pen-drive” ou outra forma compatível de reprodução, contendo as informações relativas ao objeto da licitação, para que a empresa tenha condições de bem elaborar sua proposta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7.4. </w:t>
      </w:r>
      <w:r>
        <w:rPr>
          <w:rFonts w:eastAsia="Times New Roman" w:cs="Times New Roman" w:ascii="Times New Roman" w:hAnsi="Times New Roman"/>
          <w:color w:val="111111"/>
          <w:sz w:val="24"/>
          <w:szCs w:val="24"/>
        </w:rPr>
        <w:t>A não realização da vistoria não poderá embasar posteriores alegações de desconhecimento das instalações, dúvidas ou esquecimentos de quaisquer detalhes dos locais da prestação dos serviços, devendo a licitante vencedora assumir os ônus dos serviços decorrentes.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7.5.  </w:t>
      </w:r>
      <w:r>
        <w:rPr>
          <w:rFonts w:eastAsia="Times New Roman" w:cs="Times New Roman" w:ascii="Times New Roman" w:hAnsi="Times New Roman"/>
          <w:color w:val="111111"/>
          <w:sz w:val="24"/>
          <w:szCs w:val="24"/>
        </w:rPr>
        <w:t xml:space="preserve"> A licitante deverá declarar que tomou conhecimento de todas as informações e das condições locais para o cumprimento das obrigações objeto da licitação, conforme anexo IV.</w:t>
      </w:r>
    </w:p>
    <w:p>
      <w:pPr>
        <w:pStyle w:val="Heading1"/>
        <w:rPr>
          <w:color w:val="111111"/>
        </w:rPr>
      </w:pPr>
      <w:r>
        <w:rPr>
          <w:color w:val="111111"/>
        </w:rPr>
        <w:t>8. DA SUBCONTRATAÇÃO E DO CONSÓRCIO</w:t>
      </w:r>
    </w:p>
    <w:p>
      <w:pPr>
        <w:pStyle w:val="Normal"/>
        <w:spacing w:before="200" w:after="288"/>
        <w:jc w:val="both"/>
        <w:rPr>
          <w:color w:val="111111"/>
        </w:rPr>
      </w:pPr>
      <w:r>
        <w:rPr>
          <w:rFonts w:eastAsia="Times New Roman" w:cs="Times New Roman" w:ascii="Times New Roman" w:hAnsi="Times New Roman"/>
          <w:b/>
          <w:color w:val="111111"/>
          <w:sz w:val="24"/>
          <w:szCs w:val="24"/>
        </w:rPr>
        <w:t>8.1.</w:t>
      </w:r>
      <w:r>
        <w:rPr>
          <w:rFonts w:eastAsia="Times New Roman" w:cs="Times New Roman" w:ascii="Times New Roman" w:hAnsi="Times New Roman"/>
          <w:color w:val="111111"/>
          <w:sz w:val="24"/>
          <w:szCs w:val="24"/>
        </w:rPr>
        <w:t xml:space="preserve"> É vedada a subcontratação ou transferência total ou parcial do objeto da licitação.</w:t>
      </w:r>
    </w:p>
    <w:p>
      <w:pPr>
        <w:pStyle w:val="Normal"/>
        <w:spacing w:before="200" w:after="288"/>
        <w:jc w:val="both"/>
        <w:rPr>
          <w:color w:val="111111"/>
        </w:rPr>
      </w:pPr>
      <w:r>
        <w:rPr>
          <w:rFonts w:eastAsia="Times New Roman" w:cs="Times New Roman" w:ascii="Times New Roman" w:hAnsi="Times New Roman"/>
          <w:b/>
          <w:color w:val="111111"/>
          <w:sz w:val="24"/>
          <w:szCs w:val="24"/>
        </w:rPr>
        <w:t>8.2.</w:t>
      </w:r>
      <w:r>
        <w:rPr>
          <w:rFonts w:eastAsia="Times New Roman" w:cs="Times New Roman" w:ascii="Times New Roman" w:hAnsi="Times New Roman"/>
          <w:color w:val="111111"/>
          <w:sz w:val="24"/>
          <w:szCs w:val="24"/>
        </w:rPr>
        <w:t xml:space="preserve"> Poderão participar desta licitação empresas reunidas em consórcio ou isoladamente, que satisfaçam plenamente às condições do edital e termo de referência. </w:t>
      </w:r>
    </w:p>
    <w:p>
      <w:pPr>
        <w:pStyle w:val="Normal"/>
        <w:spacing w:before="200" w:after="288"/>
        <w:jc w:val="both"/>
        <w:rPr>
          <w:color w:val="111111"/>
        </w:rPr>
      </w:pPr>
      <w:r>
        <w:rPr>
          <w:rFonts w:eastAsia="Times New Roman" w:cs="Times New Roman" w:ascii="Times New Roman" w:hAnsi="Times New Roman"/>
          <w:b/>
          <w:color w:val="111111"/>
          <w:sz w:val="24"/>
          <w:szCs w:val="24"/>
        </w:rPr>
        <w:t>8.2.1.</w:t>
      </w:r>
      <w:r>
        <w:rPr>
          <w:rFonts w:eastAsia="Times New Roman" w:cs="Times New Roman" w:ascii="Times New Roman" w:hAnsi="Times New Roman"/>
          <w:color w:val="111111"/>
          <w:sz w:val="24"/>
          <w:szCs w:val="24"/>
        </w:rPr>
        <w:t xml:space="preserve"> </w:t>
      </w:r>
      <w:r>
        <w:rPr>
          <w:rFonts w:eastAsia="Times New Roman" w:cs="Times New Roman" w:ascii="Times New Roman" w:hAnsi="Times New Roman"/>
          <w:color w:val="111111"/>
          <w:sz w:val="24"/>
          <w:szCs w:val="24"/>
        </w:rPr>
        <w:t>Em relação à habilitação econômico-financeira, haverá um acréscimo de 20% para o consórcio, em relação ao valor exigido para os licitantes individuais, exceto se o consórcio for formado integralmente por microempresas ou empresas de pequeno porte.</w:t>
      </w:r>
    </w:p>
    <w:p>
      <w:pPr>
        <w:pStyle w:val="Normal"/>
        <w:spacing w:before="200" w:after="288"/>
        <w:jc w:val="both"/>
        <w:rPr>
          <w:color w:val="111111"/>
        </w:rPr>
      </w:pPr>
      <w:r>
        <w:rPr>
          <w:rFonts w:eastAsia="Times New Roman" w:cs="Times New Roman" w:ascii="Times New Roman" w:hAnsi="Times New Roman"/>
          <w:b/>
          <w:color w:val="111111"/>
          <w:sz w:val="24"/>
          <w:szCs w:val="24"/>
        </w:rPr>
        <w:t>8.2.2.</w:t>
      </w:r>
      <w:r>
        <w:rPr>
          <w:rFonts w:eastAsia="Times New Roman" w:cs="Times New Roman" w:ascii="Times New Roman" w:hAnsi="Times New Roman"/>
          <w:color w:val="111111"/>
          <w:sz w:val="24"/>
          <w:szCs w:val="24"/>
        </w:rPr>
        <w:t xml:space="preserve"> Não será permitida a participação de empresa consorciada, na mesma licitação, por meio de mais de um consórcio ou isoladamente.</w:t>
      </w:r>
    </w:p>
    <w:p>
      <w:pPr>
        <w:pStyle w:val="Normal"/>
        <w:spacing w:before="200" w:after="288"/>
        <w:jc w:val="both"/>
        <w:rPr>
          <w:color w:val="111111"/>
        </w:rPr>
      </w:pPr>
      <w:r>
        <w:rPr>
          <w:rFonts w:eastAsia="Times New Roman" w:cs="Times New Roman" w:ascii="Times New Roman" w:hAnsi="Times New Roman"/>
          <w:b/>
          <w:color w:val="111111"/>
          <w:sz w:val="24"/>
          <w:szCs w:val="24"/>
        </w:rPr>
        <w:t>8.2.3.</w:t>
      </w:r>
      <w:r>
        <w:rPr>
          <w:rFonts w:eastAsia="Times New Roman" w:cs="Times New Roman" w:ascii="Times New Roman" w:hAnsi="Times New Roman"/>
          <w:color w:val="111111"/>
          <w:sz w:val="24"/>
          <w:szCs w:val="24"/>
        </w:rPr>
        <w:t xml:space="preserve"> </w:t>
      </w:r>
      <w:r>
        <w:rPr>
          <w:rFonts w:eastAsia="Times New Roman" w:cs="Times New Roman" w:ascii="Times New Roman" w:hAnsi="Times New Roman"/>
          <w:color w:val="111111"/>
          <w:sz w:val="24"/>
          <w:szCs w:val="24"/>
          <w:highlight w:val="white"/>
        </w:rPr>
        <w:t xml:space="preserve">Farão jus ao tratamento diferenciado, previsto na Lei Complementar n° 123/2006, os consórcios </w:t>
      </w:r>
      <w:r>
        <w:rPr>
          <w:rFonts w:eastAsia="Times New Roman" w:cs="Times New Roman" w:ascii="Times New Roman" w:hAnsi="Times New Roman"/>
          <w:b/>
          <w:color w:val="111111"/>
          <w:sz w:val="24"/>
          <w:szCs w:val="24"/>
          <w:highlight w:val="white"/>
        </w:rPr>
        <w:t>constituídos em sua totalidade por ME/EPP</w:t>
      </w:r>
      <w:r>
        <w:rPr>
          <w:rFonts w:eastAsia="Times New Roman" w:cs="Times New Roman" w:ascii="Times New Roman" w:hAnsi="Times New Roman"/>
          <w:color w:val="111111"/>
          <w:sz w:val="24"/>
          <w:szCs w:val="24"/>
          <w:highlight w:val="white"/>
        </w:rPr>
        <w:t xml:space="preserve"> a que o somatório do faturamento bruto anual de todos os consorciados não ultrapasse o limite estipulado no art. 3°, II, da referida Lei.</w:t>
      </w:r>
    </w:p>
    <w:p>
      <w:pPr>
        <w:pStyle w:val="Heading1"/>
        <w:rPr>
          <w:color w:val="111111"/>
        </w:rPr>
      </w:pPr>
      <w:r>
        <w:rPr>
          <w:color w:val="111111"/>
        </w:rPr>
        <w:t>9. DO RECEBIMENTO DO OBJETO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9.1.</w:t>
      </w:r>
      <w:r>
        <w:rPr>
          <w:rFonts w:eastAsia="Times New Roman" w:cs="Times New Roman" w:ascii="Times New Roman" w:hAnsi="Times New Roman"/>
          <w:color w:val="111111"/>
          <w:sz w:val="24"/>
          <w:szCs w:val="24"/>
        </w:rPr>
        <w:t xml:space="preserve"> Para o recebimento do objeto desta licitação, o </w:t>
      </w:r>
      <w:r>
        <w:rPr>
          <w:rFonts w:eastAsia="Times New Roman" w:cs="Times New Roman" w:ascii="Times New Roman" w:hAnsi="Times New Roman"/>
          <w:color w:val="111111"/>
          <w:sz w:val="24"/>
          <w:szCs w:val="24"/>
          <w:highlight w:val="white"/>
        </w:rPr>
        <w:t>CONTRATANTE</w:t>
      </w:r>
      <w:r>
        <w:rPr>
          <w:rFonts w:eastAsia="Times New Roman" w:cs="Times New Roman" w:ascii="Times New Roman" w:hAnsi="Times New Roman"/>
          <w:color w:val="111111"/>
          <w:sz w:val="24"/>
          <w:szCs w:val="24"/>
        </w:rPr>
        <w:t xml:space="preserve"> designará os servidores que farão o recebimento, nos termos do artigo 140, I, "a" e "b", da Lei n.º 14.133/21, da seguinte forma: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a) </w:t>
      </w:r>
      <w:r>
        <w:rPr>
          <w:rFonts w:eastAsia="Times New Roman" w:cs="Times New Roman" w:ascii="Times New Roman" w:hAnsi="Times New Roman"/>
          <w:color w:val="111111"/>
          <w:sz w:val="24"/>
          <w:szCs w:val="24"/>
        </w:rPr>
        <w:t>provisoriamente, em até 15 dias consecutivos a contar da entrega, pelo responsável por seu acompanhamento e/ou fiscalização, com verificação posterior da conformidade do objeto com as exigências do edital e seus anexos;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b)</w:t>
      </w:r>
      <w:r>
        <w:rPr>
          <w:rFonts w:eastAsia="Times New Roman" w:cs="Times New Roman" w:ascii="Times New Roman" w:hAnsi="Times New Roman"/>
          <w:color w:val="111111"/>
          <w:sz w:val="24"/>
          <w:szCs w:val="24"/>
        </w:rPr>
        <w:t xml:space="preserve"> definitivamente, por servidor responsável, mediante termo detalhado que comprove o atendimento das exigências quantitativas e qualitativas, no prazo máximo de 30</w:t>
      </w:r>
      <w:r>
        <w:rPr>
          <w:rFonts w:eastAsia="Times New Roman" w:cs="Times New Roman" w:ascii="Times New Roman" w:hAnsi="Times New Roman"/>
          <w:color w:val="111111"/>
          <w:sz w:val="24"/>
          <w:szCs w:val="24"/>
        </w:rPr>
        <w:t xml:space="preserve"> </w:t>
      </w:r>
      <w:r>
        <w:rPr>
          <w:rFonts w:eastAsia="Times New Roman" w:cs="Times New Roman" w:ascii="Times New Roman" w:hAnsi="Times New Roman"/>
          <w:color w:val="111111"/>
          <w:sz w:val="24"/>
          <w:szCs w:val="24"/>
        </w:rPr>
        <w:t>dias consecutivos contados após o recebimento provisório.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9.2. </w:t>
      </w:r>
      <w:r>
        <w:rPr>
          <w:rFonts w:eastAsia="Times New Roman" w:cs="Times New Roman" w:ascii="Times New Roman" w:hAnsi="Times New Roman"/>
          <w:color w:val="111111"/>
          <w:sz w:val="24"/>
          <w:szCs w:val="24"/>
        </w:rPr>
        <w:t>O recebimento provisório ou definitivo do objeto não exclui a responsabilidade da CONTRATADA pelos prejuízos resultantes da incorreta execução do contrato.</w:t>
      </w:r>
    </w:p>
    <w:p>
      <w:pPr>
        <w:pStyle w:val="Heading1"/>
        <w:rPr>
          <w:color w:val="111111"/>
        </w:rPr>
      </w:pPr>
      <w:r>
        <w:rPr>
          <w:color w:val="111111"/>
        </w:rPr>
        <w:t>10. DAS OBRIGAÇÕES DO CONTRATANTE</w:t>
      </w:r>
    </w:p>
    <w:p>
      <w:pPr>
        <w:pStyle w:val="Heading2"/>
        <w:rPr>
          <w:color w:val="111111"/>
        </w:rPr>
      </w:pPr>
      <w:r>
        <w:rPr>
          <w:color w:val="111111"/>
        </w:rPr>
        <w:t xml:space="preserve">10.1. </w:t>
      </w:r>
      <w:r>
        <w:rPr>
          <w:b w:val="false"/>
          <w:color w:val="111111"/>
        </w:rPr>
        <w:t>Compete ao CONTRATANTE:</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10.1.1.</w:t>
      </w:r>
      <w:r>
        <w:rPr>
          <w:rFonts w:eastAsia="Times New Roman" w:cs="Times New Roman" w:ascii="Times New Roman" w:hAnsi="Times New Roman"/>
          <w:color w:val="111111"/>
          <w:sz w:val="24"/>
          <w:szCs w:val="24"/>
        </w:rPr>
        <w:t xml:space="preserve"> Receber, fiscalizar, orientar, contestar, dirimir dúvidas emergentes da execução do objeto contratado;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10.1.2.</w:t>
      </w:r>
      <w:r>
        <w:rPr>
          <w:rFonts w:eastAsia="Times New Roman" w:cs="Times New Roman" w:ascii="Times New Roman" w:hAnsi="Times New Roman"/>
          <w:color w:val="111111"/>
          <w:sz w:val="24"/>
          <w:szCs w:val="24"/>
        </w:rPr>
        <w:t xml:space="preserve"> Receber o objeto e lavrar termo de recebimento provisório. Se o objeto contratado não estiver de acordo com as especificações do CONTRATANTE, rejeitá-lo, no todo ou em parte. Do contrário, após a análise de compatibilidade entre o contratado e o efetivamente entregue, será lavrado o termo de recebimento definitivo;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10.1.3.</w:t>
      </w:r>
      <w:r>
        <w:rPr>
          <w:rFonts w:eastAsia="Times New Roman" w:cs="Times New Roman" w:ascii="Times New Roman" w:hAnsi="Times New Roman"/>
          <w:color w:val="111111"/>
          <w:sz w:val="24"/>
          <w:szCs w:val="24"/>
        </w:rPr>
        <w:t xml:space="preserve"> Notificar à CONTRATADA, por </w:t>
      </w:r>
      <w:r>
        <w:rPr>
          <w:rFonts w:eastAsia="Times New Roman" w:cs="Times New Roman" w:ascii="Times New Roman" w:hAnsi="Times New Roman"/>
          <w:b/>
          <w:color w:val="111111"/>
          <w:sz w:val="24"/>
          <w:szCs w:val="24"/>
          <w:u w:val="single"/>
        </w:rPr>
        <w:t>ESCRITO</w:t>
      </w:r>
      <w:r>
        <w:rPr>
          <w:rFonts w:eastAsia="Times New Roman" w:cs="Times New Roman" w:ascii="Times New Roman" w:hAnsi="Times New Roman"/>
          <w:color w:val="111111"/>
          <w:sz w:val="24"/>
          <w:szCs w:val="24"/>
        </w:rPr>
        <w:t>, podendo ser via correio eletrônico (e-mail), desde que haja confirmação de recebimento pela CONTRATADA, sobre imperfeições, falhas ou irregularidades verificadas no objeto fornecido, para que seja substituído, reparado ou corrigido;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10.1.4.</w:t>
      </w:r>
      <w:r>
        <w:rPr>
          <w:rFonts w:eastAsia="Times New Roman" w:cs="Times New Roman" w:ascii="Times New Roman" w:hAnsi="Times New Roman"/>
          <w:color w:val="111111"/>
          <w:sz w:val="24"/>
          <w:szCs w:val="24"/>
        </w:rPr>
        <w:t xml:space="preserve"> Efetuar o pagamento à CONTRATADA</w:t>
      </w:r>
      <w:r>
        <w:rPr>
          <w:rFonts w:eastAsia="Times New Roman" w:cs="Times New Roman" w:ascii="Times New Roman" w:hAnsi="Times New Roman"/>
          <w:b/>
          <w:color w:val="111111"/>
          <w:sz w:val="24"/>
          <w:szCs w:val="24"/>
        </w:rPr>
        <w:t xml:space="preserve"> </w:t>
      </w:r>
      <w:r>
        <w:rPr>
          <w:rFonts w:eastAsia="Times New Roman" w:cs="Times New Roman" w:ascii="Times New Roman" w:hAnsi="Times New Roman"/>
          <w:color w:val="111111"/>
          <w:sz w:val="24"/>
          <w:szCs w:val="24"/>
        </w:rPr>
        <w:t>no valor correspondente ao fornecimento do objeto, no prazo e forma estabelecidos neste Termo de Referência.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10.2.</w:t>
      </w:r>
      <w:r>
        <w:rPr>
          <w:rFonts w:eastAsia="Times New Roman" w:cs="Times New Roman" w:ascii="Times New Roman" w:hAnsi="Times New Roman"/>
          <w:color w:val="111111"/>
          <w:sz w:val="24"/>
          <w:szCs w:val="24"/>
        </w:rPr>
        <w:t xml:space="preserve"> O </w:t>
      </w:r>
      <w:r>
        <w:rPr>
          <w:rFonts w:eastAsia="Times New Roman" w:cs="Times New Roman" w:ascii="Times New Roman" w:hAnsi="Times New Roman"/>
          <w:color w:val="111111"/>
          <w:sz w:val="24"/>
          <w:szCs w:val="24"/>
          <w:highlight w:val="white"/>
        </w:rPr>
        <w:t>CONTRATANTE</w:t>
      </w:r>
      <w:r>
        <w:rPr>
          <w:rFonts w:eastAsia="Times New Roman" w:cs="Times New Roman" w:ascii="Times New Roman" w:hAnsi="Times New Roman"/>
          <w:color w:val="111111"/>
          <w:sz w:val="24"/>
          <w:szCs w:val="24"/>
        </w:rPr>
        <w:t xml:space="preserve"> não responderá por quaisquer compromissos assumidos pela CONTRATADA com terceiros, ainda que vinculados à execução do presente Termo de Referência, bem como por qualquer dano causado a terceiros em decorrência de ato da CONTRATADA, de seus empregados, prepostos ou subordinados.</w:t>
      </w:r>
    </w:p>
    <w:p>
      <w:pPr>
        <w:pStyle w:val="Heading1"/>
        <w:rPr>
          <w:color w:val="111111"/>
        </w:rPr>
      </w:pPr>
      <w:r>
        <w:rPr>
          <w:color w:val="111111"/>
        </w:rPr>
        <w:t>11. DAS OBRIGAÇÕES DA CONTRATADA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 </w:t>
      </w:r>
      <w:r>
        <w:rPr>
          <w:rFonts w:eastAsia="Times New Roman" w:cs="Times New Roman" w:ascii="Times New Roman" w:hAnsi="Times New Roman"/>
          <w:color w:val="111111"/>
          <w:sz w:val="24"/>
          <w:szCs w:val="24"/>
        </w:rPr>
        <w:t>A CONTRATADA cumprirá todas as obrigações constantes no Termo de Referência, seus Anexos e sua proposta, assumindo como exclusivamente seus os riscos e as despesas decorrentes da boa e perfeita execução do objeto e, ainda: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11.1.1.</w:t>
      </w:r>
      <w:r>
        <w:rPr>
          <w:rFonts w:eastAsia="Times New Roman" w:cs="Times New Roman" w:ascii="Times New Roman" w:hAnsi="Times New Roman"/>
          <w:color w:val="111111"/>
          <w:sz w:val="24"/>
          <w:szCs w:val="24"/>
        </w:rPr>
        <w:t xml:space="preserve"> Proceder à entrega do objeto no prazo e local fixados, acompanhado da respectiva nota fiscal;</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11.1.2.</w:t>
      </w:r>
      <w:r>
        <w:rPr>
          <w:rFonts w:eastAsia="Times New Roman" w:cs="Times New Roman" w:ascii="Times New Roman" w:hAnsi="Times New Roman"/>
          <w:color w:val="111111"/>
          <w:sz w:val="24"/>
          <w:szCs w:val="24"/>
        </w:rPr>
        <w:t xml:space="preserve"> Considerar os preços propostos completos e suficientes para o fornecimento do objeto desta contratação, sendo desconsiderada qualquer reivindicação de pagamento adicional devido a erro ou à má interpretação de parte da CONTRATADA;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11.1.3.</w:t>
      </w:r>
      <w:r>
        <w:rPr>
          <w:rFonts w:eastAsia="Times New Roman" w:cs="Times New Roman" w:ascii="Times New Roman" w:hAnsi="Times New Roman"/>
          <w:color w:val="111111"/>
          <w:sz w:val="24"/>
          <w:szCs w:val="24"/>
        </w:rPr>
        <w:t xml:space="preserve"> Arcar com os encargos previdenciários, fiscais (ICMS e outros), comerciais, trabalhistas, tributários, itens, embalagens, tarifas, fretes, seguros, descarga, transporte, material, responsabilidade civil e outros resultantes do contrato, bem como os riscos atinentes à atividade, inclusive quaisquer despesas que venham a incidir sobre os itens, objeto desta contratação;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11.1.3.1.</w:t>
      </w:r>
      <w:r>
        <w:rPr>
          <w:rFonts w:eastAsia="Times New Roman" w:cs="Times New Roman" w:ascii="Times New Roman" w:hAnsi="Times New Roman"/>
          <w:color w:val="111111"/>
          <w:sz w:val="24"/>
          <w:szCs w:val="24"/>
        </w:rPr>
        <w:t xml:space="preserve"> Entende-se por encargos os tributos (impostos, taxas), contribuições fiscais e parafiscais, os instituídos por leis, contribuições sociais, emolumentos, fornecimento de mão de obra especializada, administração, lucros, equipamentos e ferramental, transporte de material e de pessoal, estada, hospedagem, alimentação e qualquer despesa, acessória e/ou necessária, não especificada neste Termo de Referência;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11.1.4.</w:t>
      </w:r>
      <w:r>
        <w:rPr>
          <w:rFonts w:eastAsia="Times New Roman" w:cs="Times New Roman" w:ascii="Times New Roman" w:hAnsi="Times New Roman"/>
          <w:color w:val="111111"/>
          <w:sz w:val="24"/>
          <w:szCs w:val="24"/>
        </w:rPr>
        <w:t xml:space="preserve"> Indenizar terceiros e ao CONTRATANTE os possíveis prejuízos ou danos causados em razão da execução do contrato, em conformidade com o artigo 120 da Lei n.º 14.133/21;</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11.1.5.</w:t>
      </w:r>
      <w:r>
        <w:rPr>
          <w:rFonts w:eastAsia="Times New Roman" w:cs="Times New Roman" w:ascii="Times New Roman" w:hAnsi="Times New Roman"/>
          <w:color w:val="111111"/>
          <w:sz w:val="24"/>
          <w:szCs w:val="24"/>
        </w:rPr>
        <w:t xml:space="preserve"> Arcar com todas as despesas necessárias à execução do objeto contratado;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11.1.6.</w:t>
      </w:r>
      <w:r>
        <w:rPr>
          <w:rFonts w:eastAsia="Times New Roman" w:cs="Times New Roman" w:ascii="Times New Roman" w:hAnsi="Times New Roman"/>
          <w:color w:val="111111"/>
          <w:sz w:val="24"/>
          <w:szCs w:val="24"/>
        </w:rPr>
        <w:t xml:space="preserve"> Cumprir fielmente o contrato, em compatibilidade com as obrigações assumidas;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11.1.7.</w:t>
      </w:r>
      <w:r>
        <w:rPr>
          <w:rFonts w:eastAsia="Times New Roman" w:cs="Times New Roman" w:ascii="Times New Roman" w:hAnsi="Times New Roman"/>
          <w:color w:val="111111"/>
          <w:sz w:val="24"/>
          <w:szCs w:val="24"/>
        </w:rPr>
        <w:t xml:space="preserve"> Substituir o objeto avariado no prazo estabelecido neste Termo de Referência, ou não sendo possível, indenizar o valor correspondente acrescido de perdas e danos, mediante toda e qualquer impugnação feita pelo CONTRATANTE;</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11.1.8.</w:t>
      </w:r>
      <w:r>
        <w:rPr>
          <w:rFonts w:eastAsia="Times New Roman" w:cs="Times New Roman" w:ascii="Times New Roman" w:hAnsi="Times New Roman"/>
          <w:color w:val="111111"/>
          <w:sz w:val="24"/>
          <w:szCs w:val="24"/>
        </w:rPr>
        <w:t xml:space="preserve"> Prestar informações sobre a utilização do objeto;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11.1.9.</w:t>
      </w:r>
      <w:r>
        <w:rPr>
          <w:rFonts w:eastAsia="Times New Roman" w:cs="Times New Roman" w:ascii="Times New Roman" w:hAnsi="Times New Roman"/>
          <w:color w:val="111111"/>
          <w:sz w:val="24"/>
          <w:szCs w:val="24"/>
        </w:rPr>
        <w:t xml:space="preserve"> Manter todas as condições de habilitação e qualificação exigidas na licitação, durante toda a execução do contrato e em compatibilidade com as obrigações assumidas;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11.1.10.</w:t>
      </w:r>
      <w:r>
        <w:rPr>
          <w:rFonts w:eastAsia="Times New Roman" w:cs="Times New Roman" w:ascii="Times New Roman" w:hAnsi="Times New Roman"/>
          <w:color w:val="111111"/>
          <w:sz w:val="24"/>
          <w:szCs w:val="24"/>
        </w:rPr>
        <w:t xml:space="preserve"> Responder pela qualidade, quantidade, validade, segurança e demais características do objeto, bem como a observação às normas técnicas;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11.1.11.</w:t>
      </w:r>
      <w:r>
        <w:rPr>
          <w:rFonts w:eastAsia="Times New Roman" w:cs="Times New Roman" w:ascii="Times New Roman" w:hAnsi="Times New Roman"/>
          <w:color w:val="111111"/>
          <w:sz w:val="24"/>
          <w:szCs w:val="24"/>
        </w:rPr>
        <w:t xml:space="preserve"> Não subcontratar o objeto deste contrato, salvo esteja expressamente permitido neste Termo de Referência;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11.1.12. </w:t>
      </w:r>
      <w:r>
        <w:rPr>
          <w:rFonts w:eastAsia="Times New Roman" w:cs="Times New Roman" w:ascii="Times New Roman" w:hAnsi="Times New Roman"/>
          <w:color w:val="111111"/>
          <w:sz w:val="24"/>
          <w:szCs w:val="24"/>
        </w:rPr>
        <w:t>Prestar a garantia do objeto, manutenção e assistência técnica, caso exigida neste Termo de Referência;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11.1.13. </w:t>
      </w:r>
      <w:r>
        <w:rPr>
          <w:rFonts w:eastAsia="Times New Roman" w:cs="Times New Roman" w:ascii="Times New Roman" w:hAnsi="Times New Roman"/>
          <w:color w:val="111111"/>
          <w:sz w:val="24"/>
          <w:szCs w:val="24"/>
        </w:rPr>
        <w:t>Informar à Secretaria requisitante, durante o período de vigência do contrato, qualquer alteração de endereço, telefone, correio eletrônico (e-mail) ou outros dados.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11.1.14. </w:t>
      </w:r>
      <w:r>
        <w:rPr>
          <w:rFonts w:eastAsia="Times New Roman" w:cs="Times New Roman" w:ascii="Times New Roman" w:hAnsi="Times New Roman"/>
          <w:color w:val="111111"/>
          <w:sz w:val="24"/>
          <w:szCs w:val="24"/>
        </w:rPr>
        <w:t>Fornecer máquinas, equipamentos e pessoal para mão de obra, fornecer e utilizar todos os materiais necessários à plena execução do objeto, sem ônus de qualquer espécie para o Município, obedecendo às especificações dos Projetos e Memoriais Descritivos;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11.1.15. </w:t>
      </w:r>
      <w:r>
        <w:rPr>
          <w:rFonts w:eastAsia="Times New Roman" w:cs="Times New Roman" w:ascii="Times New Roman" w:hAnsi="Times New Roman"/>
          <w:color w:val="111111"/>
          <w:sz w:val="24"/>
          <w:szCs w:val="24"/>
        </w:rPr>
        <w:t>Cumprir a legislação federal, estadual e municipal pertinente, e se responsabilizar pelos danos e encargos de qualquer espécie decorrentes de ações ou omissões, culposas ou dolosas, que praticar;</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11.1.16. </w:t>
      </w:r>
      <w:r>
        <w:rPr>
          <w:rFonts w:eastAsia="Times New Roman" w:cs="Times New Roman" w:ascii="Times New Roman" w:hAnsi="Times New Roman"/>
          <w:color w:val="111111"/>
          <w:sz w:val="24"/>
          <w:szCs w:val="24"/>
        </w:rPr>
        <w:t>Assumir responsabilidade técnica pela execução do objeto, com a respectiva ART ou RRT, devidamente paga, em nome do profissional detentor do atestado de capacidade técnica: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11.1.17. </w:t>
      </w:r>
      <w:r>
        <w:rPr>
          <w:rFonts w:eastAsia="Times New Roman" w:cs="Times New Roman" w:ascii="Times New Roman" w:hAnsi="Times New Roman"/>
          <w:color w:val="111111"/>
          <w:sz w:val="24"/>
          <w:szCs w:val="24"/>
        </w:rPr>
        <w:t>O responsável técnico deverá orientar os trabalhos, comparecendo no mínimo 3 (três) dias por semana no local dos serviços, em horários a serem pré-definidos com o fiscal do contrato, para o adequado acompanhamento dos serviços, caso exigido neste Termo de Referência;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11.1.18. </w:t>
      </w:r>
      <w:r>
        <w:rPr>
          <w:rFonts w:eastAsia="Times New Roman" w:cs="Times New Roman" w:ascii="Times New Roman" w:hAnsi="Times New Roman"/>
          <w:color w:val="111111"/>
          <w:sz w:val="24"/>
          <w:szCs w:val="24"/>
        </w:rPr>
        <w:t>Tratar as questões inerentes ao serviço com o fiscal do contrato, através do responsável técnico pela execução ou, na ausência deste, do mestre de obras, não se admitindo aos demais empregados da CONTRATADA tratar de questões técnicas com o fiscal do contrato, a não ser por iniciativa deste último;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11.1.19. </w:t>
      </w:r>
      <w:r>
        <w:rPr>
          <w:rFonts w:eastAsia="Times New Roman" w:cs="Times New Roman" w:ascii="Times New Roman" w:hAnsi="Times New Roman"/>
          <w:color w:val="111111"/>
          <w:sz w:val="24"/>
          <w:szCs w:val="24"/>
        </w:rPr>
        <w:t xml:space="preserve">Comunicar por </w:t>
      </w:r>
      <w:r>
        <w:rPr>
          <w:rFonts w:eastAsia="Times New Roman" w:cs="Times New Roman" w:ascii="Times New Roman" w:hAnsi="Times New Roman"/>
          <w:b/>
          <w:color w:val="111111"/>
          <w:sz w:val="24"/>
          <w:szCs w:val="24"/>
          <w:u w:val="single"/>
        </w:rPr>
        <w:t>ESCRITO</w:t>
      </w:r>
      <w:r>
        <w:rPr>
          <w:rFonts w:eastAsia="Times New Roman" w:cs="Times New Roman" w:ascii="Times New Roman" w:hAnsi="Times New Roman"/>
          <w:color w:val="111111"/>
          <w:sz w:val="24"/>
          <w:szCs w:val="24"/>
        </w:rPr>
        <w:t xml:space="preserve"> à fiscalização a ocorrência de qualquer fato ou condição que possa atrasar ou impedir a conclusão da obra em partes ou no todo;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11.1.20. </w:t>
      </w:r>
      <w:r>
        <w:rPr>
          <w:rFonts w:eastAsia="Times New Roman" w:cs="Times New Roman" w:ascii="Times New Roman" w:hAnsi="Times New Roman"/>
          <w:color w:val="111111"/>
          <w:sz w:val="24"/>
          <w:szCs w:val="24"/>
        </w:rPr>
        <w:t>Não depositar material de construção no passeio público, a não ser para fins de descarga;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11.1.20.1.</w:t>
      </w:r>
      <w:r>
        <w:rPr>
          <w:rFonts w:eastAsia="Times New Roman" w:cs="Times New Roman" w:ascii="Times New Roman" w:hAnsi="Times New Roman"/>
          <w:color w:val="111111"/>
          <w:sz w:val="24"/>
          <w:szCs w:val="24"/>
        </w:rPr>
        <w:t xml:space="preserve"> Contratada deverá observar as diretrizes, critérios e procedimentos para a gestão dos resíduos da construção civil estabelecidos na Lei nº 12.305, de 2010 – Política Nacional de Resíduos Sólidos, artigos 3º e 10º da Resolução nº 307, de 05/07/2002, do Conselho Nacional de Meio Ambiente – CONAMA, e Instrução Normativa SLTI/MPOG n° 1, de 19/01/2010. </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11.1.21. </w:t>
      </w:r>
      <w:r>
        <w:rPr>
          <w:rFonts w:eastAsia="Times New Roman" w:cs="Times New Roman" w:ascii="Times New Roman" w:hAnsi="Times New Roman"/>
          <w:color w:val="111111"/>
          <w:sz w:val="24"/>
          <w:szCs w:val="24"/>
        </w:rPr>
        <w:t>Obedecer sempre às recomendações dos fabricantes na aplicação dos materiais industrializados e dos de emprego especial, cabendo à CONTRATADA, em qualquer caso, a responsabilidade técnica e os ônus decorrentes da sua má aplicação;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11.1.21. </w:t>
      </w:r>
      <w:r>
        <w:rPr>
          <w:rFonts w:eastAsia="Times New Roman" w:cs="Times New Roman" w:ascii="Times New Roman" w:hAnsi="Times New Roman"/>
          <w:color w:val="111111"/>
          <w:sz w:val="24"/>
          <w:szCs w:val="24"/>
        </w:rPr>
        <w:t>Comprovar, através de notas fiscais e embalagens comerciais, a qualidade dos produtos utilizados na execução dos serviços, sempre que solicitado pela fiscalização;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11.1.22. </w:t>
      </w:r>
      <w:r>
        <w:rPr>
          <w:rFonts w:eastAsia="Times New Roman" w:cs="Times New Roman" w:ascii="Times New Roman" w:hAnsi="Times New Roman"/>
          <w:color w:val="111111"/>
          <w:sz w:val="24"/>
          <w:szCs w:val="24"/>
        </w:rPr>
        <w:t>Realizar os testes, ensaios, exames e provas necessárias ao controle de qualidade dos materiais, serviços e equipamentos a serem aplicados nos trabalhos, sempre que solicitados pelo fiscal do contrato;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11.1.23. </w:t>
      </w:r>
      <w:r>
        <w:rPr>
          <w:rFonts w:eastAsia="Times New Roman" w:cs="Times New Roman" w:ascii="Times New Roman" w:hAnsi="Times New Roman"/>
          <w:color w:val="111111"/>
          <w:sz w:val="24"/>
          <w:szCs w:val="24"/>
        </w:rPr>
        <w:t>Comunicar previamente toda concretagem ao fiscal do contrato, para que se proceda à prévia verificação das armaduras, as disposições, dimensões e escoramentos das formas, e a colocação das tubulações e acessórios de instalações elétricas, preventiva de incêndio, etc., a serem embutidas no concreto, que já deverão estar executadas quando comunicado.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11.1.24. </w:t>
      </w:r>
      <w:r>
        <w:rPr>
          <w:rFonts w:eastAsia="Times New Roman" w:cs="Times New Roman" w:ascii="Times New Roman" w:hAnsi="Times New Roman"/>
          <w:color w:val="111111"/>
          <w:sz w:val="24"/>
          <w:szCs w:val="24"/>
        </w:rPr>
        <w:t>Fornecer ao fiscal do contrato cópias das notas fiscais de todas as cargas de concreto, no caso de usinado, discriminadas com traço do produto conforme exigido no projeto estrutural;</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11.1.25. </w:t>
      </w:r>
      <w:r>
        <w:rPr>
          <w:rFonts w:eastAsia="Times New Roman" w:cs="Times New Roman" w:ascii="Times New Roman" w:hAnsi="Times New Roman"/>
          <w:color w:val="111111"/>
          <w:sz w:val="24"/>
          <w:szCs w:val="24"/>
        </w:rPr>
        <w:t>Manter, em local acessível ao fiscal do contrato, um diário de obra, atualizado e visado pelo responsável técnico da CONTRATADA;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11.1.26. </w:t>
      </w:r>
      <w:r>
        <w:rPr>
          <w:rFonts w:eastAsia="Times New Roman" w:cs="Times New Roman" w:ascii="Times New Roman" w:hAnsi="Times New Roman"/>
          <w:color w:val="111111"/>
          <w:sz w:val="24"/>
          <w:szCs w:val="24"/>
        </w:rPr>
        <w:t>A CONTRATADA deverá custear e exercer completa vigilância no canteiro de obras, sendo que a guarda dos materiais, máquinas, equipamentos, ferramentas, utensílios e demais componentes necessários à execução da obra fica a cargo da CONTRATADA, sendo que a mesma será responsável por qualquer sinistro que acarrete prejuízo material e/ou financeiro que possa ocorrer durante a execução dos serviços;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11.1.27. </w:t>
      </w:r>
      <w:r>
        <w:rPr>
          <w:rFonts w:eastAsia="Times New Roman" w:cs="Times New Roman" w:ascii="Times New Roman" w:hAnsi="Times New Roman"/>
          <w:color w:val="111111"/>
          <w:sz w:val="24"/>
          <w:szCs w:val="24"/>
        </w:rPr>
        <w:t>Equipar e fiscalizar o uso de EPI’s (Equipamentos de Proteção Individual) e EPC’s (Equipamentos de Proteção Coletiva) de todos os funcionários que participarem da execução do objeto do Contrato;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11.1.28. </w:t>
      </w:r>
      <w:r>
        <w:rPr>
          <w:rFonts w:eastAsia="Times New Roman" w:cs="Times New Roman" w:ascii="Times New Roman" w:hAnsi="Times New Roman"/>
          <w:color w:val="111111"/>
          <w:sz w:val="24"/>
          <w:szCs w:val="24"/>
        </w:rPr>
        <w:t>Cumprir todas as normas regulamentares sobre Medicina e Segurança do Trabalho;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11.1.29. </w:t>
      </w:r>
      <w:r>
        <w:rPr>
          <w:rFonts w:eastAsia="Times New Roman" w:cs="Times New Roman" w:ascii="Times New Roman" w:hAnsi="Times New Roman"/>
          <w:color w:val="111111"/>
          <w:sz w:val="24"/>
          <w:szCs w:val="24"/>
        </w:rPr>
        <w:t>Providenciar, de acordo com os prazos legais e antes do final dos serviços, junto aos órgãos municipais e concessionárias de serviços públicos, a vistoria e emissão de documentação pertinentes, a saber:</w:t>
      </w:r>
    </w:p>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a) Na concessionária de energia elétrica a ligação definitiva - subestação;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11.1.30. </w:t>
      </w:r>
      <w:r>
        <w:rPr>
          <w:rFonts w:eastAsia="Times New Roman" w:cs="Times New Roman" w:ascii="Times New Roman" w:hAnsi="Times New Roman"/>
          <w:color w:val="111111"/>
          <w:sz w:val="24"/>
          <w:szCs w:val="24"/>
        </w:rPr>
        <w:t>Assumir, às suas expensas, parecer ou laudo técnico de profissional não ligado diretamente ao objeto, se forem constatados, pelo fiscal do contrato, problemas que gerem dúvidas quanto à integridade dos serviços, a fim de apurar os dados necessários à adequada decisão sobre os serviços afetados;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11.1.31. </w:t>
      </w:r>
      <w:r>
        <w:rPr>
          <w:rFonts w:eastAsia="Times New Roman" w:cs="Times New Roman" w:ascii="Times New Roman" w:hAnsi="Times New Roman"/>
          <w:color w:val="111111"/>
          <w:sz w:val="24"/>
          <w:szCs w:val="24"/>
        </w:rPr>
        <w:t>Responsabilizar-se por qualquer dano causado, por sua culpa ou dolo, às redes da CORSAN, RGE ou outra concessionária, bem como a qualquer órgão público, empresa privada ou pessoa física, não cabendo ao CONTRATANTE suportar qualquer ônus;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highlight w:val="white"/>
        </w:rPr>
        <w:t xml:space="preserve">11.1.32. </w:t>
      </w:r>
      <w:r>
        <w:rPr>
          <w:rFonts w:eastAsia="Times New Roman" w:cs="Times New Roman" w:ascii="Times New Roman" w:hAnsi="Times New Roman"/>
          <w:color w:val="111111"/>
          <w:sz w:val="24"/>
          <w:szCs w:val="24"/>
          <w:highlight w:val="white"/>
        </w:rPr>
        <w:t>Aceitar acréscimo ou supressão do objeto contratado, por iniciativa do CONTRATANTE, havendo justificativa técnica e recurso financeiro disponível, nos termos do art. 124 da Lei n° 14.133/2021.</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11.1.33. </w:t>
      </w:r>
      <w:r>
        <w:rPr>
          <w:rFonts w:eastAsia="Times New Roman" w:cs="Times New Roman" w:ascii="Times New Roman" w:hAnsi="Times New Roman"/>
          <w:color w:val="111111"/>
          <w:sz w:val="24"/>
          <w:szCs w:val="24"/>
        </w:rPr>
        <w:t>Oferecer garantia mínima de 5 (cinco) anos pelo serviço executado, a contar da data do recebimento do objeto;</w:t>
      </w:r>
    </w:p>
    <w:p>
      <w:pPr>
        <w:pStyle w:val="Heading1"/>
        <w:rPr>
          <w:color w:val="111111"/>
        </w:rPr>
      </w:pPr>
      <w:bookmarkStart w:id="2" w:name="_heading=h.tsmlllpzmi4y"/>
      <w:bookmarkEnd w:id="2"/>
      <w:r>
        <w:rPr>
          <w:color w:val="111111"/>
        </w:rPr>
        <w:t>12. DO CONTROLE E FISCALIZAÇÃO DA EXECUÇÃO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12.1</w:t>
      </w:r>
      <w:r>
        <w:rPr>
          <w:rFonts w:eastAsia="Times New Roman" w:cs="Times New Roman" w:ascii="Times New Roman" w:hAnsi="Times New Roman"/>
          <w:color w:val="111111"/>
          <w:sz w:val="24"/>
          <w:szCs w:val="24"/>
        </w:rPr>
        <w:t>. O contrato ou instrumento equivalente deverá ser executado fielmente pelas partes, de acordo com as cláusulas avençadas e as normas da Lei n.º 14.133/21, e cada parte responderá pelas consequências de sua inexecução total ou parcial (Lei n.º 14.133/21, art. 115, caput).</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12.2.</w:t>
      </w:r>
      <w:r>
        <w:rPr>
          <w:rFonts w:eastAsia="Times New Roman" w:cs="Times New Roman" w:ascii="Times New Roman" w:hAnsi="Times New Roman"/>
          <w:color w:val="111111"/>
          <w:sz w:val="24"/>
          <w:szCs w:val="24"/>
        </w:rPr>
        <w:t xml:space="preserve"> Em caso de impedimento, ordem de paralisação ou suspensão do contrato ou do instrumento equivalente, o cronograma de execução será prorrogado automaticamente pelo tempo correspondente, anotadas tais circunstâncias mediante simples apostila (Lei n.º 14.133/21, art. 115, § 5.º).</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12.3.</w:t>
      </w:r>
      <w:r>
        <w:rPr>
          <w:rFonts w:eastAsia="Times New Roman" w:cs="Times New Roman" w:ascii="Times New Roman" w:hAnsi="Times New Roman"/>
          <w:color w:val="111111"/>
          <w:sz w:val="24"/>
          <w:szCs w:val="24"/>
        </w:rPr>
        <w:t xml:space="preserve"> A execução do contrato ou do instrumento equivalente deverá ser acompanhada e fiscalizada pelo(s) fiscal(is) do contrato, ou pelos respectivos substitutos (Lei n.º 14.133/21, art. 117, caput).</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12.4.</w:t>
      </w:r>
      <w:r>
        <w:rPr>
          <w:rFonts w:eastAsia="Times New Roman" w:cs="Times New Roman" w:ascii="Times New Roman" w:hAnsi="Times New Roman"/>
          <w:color w:val="111111"/>
          <w:sz w:val="24"/>
          <w:szCs w:val="24"/>
        </w:rPr>
        <w:t xml:space="preserve"> A CONTRATADA será obrigada a reparar, corrigir, remover, reconstruir ou substituir, a suas expensas, no total ou em parte, o objeto do contrato ou do instrumento equivalente em que se verificarem vícios, defeitos ou incorreções resultantes de sua execução ou de materiais nela empregados (Lei n.º 14.133/21, art. 119).</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12.5.</w:t>
      </w:r>
      <w:r>
        <w:rPr>
          <w:rFonts w:eastAsia="Times New Roman" w:cs="Times New Roman" w:ascii="Times New Roman" w:hAnsi="Times New Roman"/>
          <w:color w:val="111111"/>
          <w:sz w:val="24"/>
          <w:szCs w:val="24"/>
        </w:rPr>
        <w:t xml:space="preserve"> A CONTRATADA será responsável pelos danos causados diretamente à Administração ou a terceiros em razão da execução do contrato ou do instrumento equivalente, e não excluirá nem reduzirá essa responsabilidade a fiscalização ou o acompanhamento pelo CONTRATANTE (Lei n.º 14.133/21, art. 120).</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12.6.</w:t>
      </w:r>
      <w:r>
        <w:rPr>
          <w:rFonts w:eastAsia="Times New Roman" w:cs="Times New Roman" w:ascii="Times New Roman" w:hAnsi="Times New Roman"/>
          <w:color w:val="111111"/>
          <w:sz w:val="24"/>
          <w:szCs w:val="24"/>
        </w:rPr>
        <w:t xml:space="preserve"> Somente a CONTRATADA será responsável pelos encargos trabalhistas, previdenciários, fiscais e comerciais resultantes da execução do contrato ou do instrumento equivalente (Lei n.º 14.133/21, art. 121, </w:t>
      </w:r>
      <w:r>
        <w:rPr>
          <w:rFonts w:eastAsia="Times New Roman" w:cs="Times New Roman" w:ascii="Times New Roman" w:hAnsi="Times New Roman"/>
          <w:i/>
          <w:color w:val="111111"/>
          <w:sz w:val="24"/>
          <w:szCs w:val="24"/>
        </w:rPr>
        <w:t>caput</w:t>
      </w:r>
      <w:r>
        <w:rPr>
          <w:rFonts w:eastAsia="Times New Roman" w:cs="Times New Roman" w:ascii="Times New Roman" w:hAnsi="Times New Roman"/>
          <w:color w:val="111111"/>
          <w:sz w:val="24"/>
          <w:szCs w:val="24"/>
        </w:rPr>
        <w:t>).</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12.6.1.</w:t>
      </w:r>
      <w:r>
        <w:rPr>
          <w:rFonts w:eastAsia="Times New Roman" w:cs="Times New Roman" w:ascii="Times New Roman" w:hAnsi="Times New Roman"/>
          <w:color w:val="111111"/>
          <w:sz w:val="24"/>
          <w:szCs w:val="24"/>
        </w:rPr>
        <w:t xml:space="preserve"> A inadimplência da CONTRATADA em relação aos encargos trabalhistas, fiscais e comerciais não transfere à Administração a responsabilidade pelo seu pagamento e não poderá onerar o objeto do contrato ou do instrumento equivalente (Lei n.º 14.133/21, art. 121, § 1.º).</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12.7.</w:t>
      </w:r>
      <w:r>
        <w:rPr>
          <w:rFonts w:eastAsia="Times New Roman" w:cs="Times New Roman" w:ascii="Times New Roman" w:hAnsi="Times New Roman"/>
          <w:color w:val="111111"/>
          <w:sz w:val="24"/>
          <w:szCs w:val="24"/>
        </w:rPr>
        <w:t xml:space="preserve"> As comunicações entre o órgão ou entidade e a CONTRATADA devem ser realizadas por </w:t>
      </w:r>
      <w:r>
        <w:rPr>
          <w:rFonts w:eastAsia="Times New Roman" w:cs="Times New Roman" w:ascii="Times New Roman" w:hAnsi="Times New Roman"/>
          <w:b/>
          <w:color w:val="111111"/>
          <w:sz w:val="24"/>
          <w:szCs w:val="24"/>
          <w:u w:val="single"/>
        </w:rPr>
        <w:t>ESCRITO</w:t>
      </w:r>
      <w:r>
        <w:rPr>
          <w:rFonts w:eastAsia="Times New Roman" w:cs="Times New Roman" w:ascii="Times New Roman" w:hAnsi="Times New Roman"/>
          <w:color w:val="111111"/>
          <w:sz w:val="24"/>
          <w:szCs w:val="24"/>
        </w:rPr>
        <w:t xml:space="preserve"> sempre que o ato exigir tal formalidade, admitindo-se, </w:t>
      </w:r>
      <w:r>
        <w:rPr>
          <w:rFonts w:eastAsia="Times New Roman" w:cs="Times New Roman" w:ascii="Times New Roman" w:hAnsi="Times New Roman"/>
          <w:b/>
          <w:color w:val="111111"/>
          <w:sz w:val="24"/>
          <w:szCs w:val="24"/>
          <w:u w:val="single"/>
        </w:rPr>
        <w:t>EXCEPCIONALMENTE,</w:t>
      </w:r>
      <w:r>
        <w:rPr>
          <w:rFonts w:eastAsia="Times New Roman" w:cs="Times New Roman" w:ascii="Times New Roman" w:hAnsi="Times New Roman"/>
          <w:color w:val="111111"/>
          <w:sz w:val="24"/>
          <w:szCs w:val="24"/>
        </w:rPr>
        <w:t xml:space="preserve"> o uso de mensagem eletrônica, via aplicativo de troca de mensagens, para esse fim (IN 5/2017, art. 44, § 2.º).</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12.7.1. </w:t>
      </w:r>
      <w:r>
        <w:rPr>
          <w:rFonts w:eastAsia="Times New Roman" w:cs="Times New Roman" w:ascii="Times New Roman" w:hAnsi="Times New Roman"/>
          <w:color w:val="111111"/>
          <w:sz w:val="24"/>
          <w:szCs w:val="24"/>
        </w:rPr>
        <w:t>Por meios de comunicação por escrito entende-se: ofícios e e-mails.</w:t>
      </w:r>
    </w:p>
    <w:p>
      <w:pPr>
        <w:pStyle w:val="Heading1"/>
        <w:rPr>
          <w:color w:val="111111"/>
        </w:rPr>
      </w:pPr>
      <w:r>
        <w:rPr>
          <w:color w:val="111111"/>
        </w:rPr>
        <w:t>13. DO PAGAMENTO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13.1. </w:t>
      </w:r>
      <w:r>
        <w:rPr>
          <w:rFonts w:eastAsia="Times New Roman" w:cs="Times New Roman" w:ascii="Times New Roman" w:hAnsi="Times New Roman"/>
          <w:color w:val="111111"/>
          <w:sz w:val="24"/>
          <w:szCs w:val="24"/>
        </w:rPr>
        <w:t xml:space="preserve">O pagamento será efetuado mensalmente, acompanhado da respectiva nota fiscal, </w:t>
      </w:r>
      <w:r>
        <w:rPr>
          <w:rFonts w:eastAsia="Times New Roman" w:cs="Times New Roman" w:ascii="Times New Roman" w:hAnsi="Times New Roman"/>
          <w:b/>
          <w:color w:val="111111"/>
          <w:sz w:val="24"/>
          <w:szCs w:val="24"/>
        </w:rPr>
        <w:t>até o 30.º dia consecutivo</w:t>
      </w:r>
      <w:r>
        <w:rPr>
          <w:rFonts w:eastAsia="Times New Roman" w:cs="Times New Roman" w:ascii="Times New Roman" w:hAnsi="Times New Roman"/>
          <w:color w:val="111111"/>
          <w:sz w:val="24"/>
          <w:szCs w:val="24"/>
        </w:rPr>
        <w:t>,</w:t>
      </w:r>
      <w:r>
        <w:rPr>
          <w:rFonts w:eastAsia="Times New Roman" w:cs="Times New Roman" w:ascii="Times New Roman" w:hAnsi="Times New Roman"/>
          <w:b/>
          <w:color w:val="111111"/>
          <w:sz w:val="24"/>
          <w:szCs w:val="24"/>
        </w:rPr>
        <w:t xml:space="preserve"> após o ateste realizado </w:t>
      </w:r>
      <w:r>
        <w:rPr>
          <w:rFonts w:eastAsia="Times New Roman" w:cs="Times New Roman" w:ascii="Times New Roman" w:hAnsi="Times New Roman"/>
          <w:color w:val="111111"/>
          <w:sz w:val="24"/>
          <w:szCs w:val="24"/>
        </w:rPr>
        <w:t>pelo servidor responsável/fiscal do contrato. A data do referido ateste será a mesma informada na emissão/inclusão do Termo de Fiscalização.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13.2. </w:t>
      </w:r>
      <w:r>
        <w:rPr>
          <w:rFonts w:eastAsia="Times New Roman" w:cs="Times New Roman" w:ascii="Times New Roman" w:hAnsi="Times New Roman"/>
          <w:color w:val="111111"/>
          <w:sz w:val="24"/>
          <w:szCs w:val="24"/>
        </w:rPr>
        <w:t>A CONTRATADA deverá emitir documento fiscal em conformidade com a legislação tributária, sob pena de devolução para que haja o acerto do faturamento.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13.2.1. </w:t>
      </w:r>
      <w:r>
        <w:rPr>
          <w:rFonts w:eastAsia="Times New Roman" w:cs="Times New Roman" w:ascii="Times New Roman" w:hAnsi="Times New Roman"/>
          <w:color w:val="111111"/>
          <w:sz w:val="24"/>
          <w:szCs w:val="24"/>
        </w:rPr>
        <w:t>Na hipótese de existência de erros na nota fiscal de cobrança e/ou outra circunstância que impeça a liquidação da despesa, o pagamento será interrompido e ficará pendente até que a CONTRATADA adote as medidas saneadoras, voltando a correr na sua íntegra após a CONTRATADA ter solucionado o problema, seguindo a legislação vigente quanto à ordem cronológica de pagamentos do CONTRATANTE.</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13.3. </w:t>
      </w:r>
      <w:r>
        <w:rPr>
          <w:rFonts w:eastAsia="Times New Roman" w:cs="Times New Roman" w:ascii="Times New Roman" w:hAnsi="Times New Roman"/>
          <w:color w:val="111111"/>
          <w:sz w:val="24"/>
          <w:szCs w:val="24"/>
        </w:rPr>
        <w:t>Serão retidos na fonte os tributos e as contribuições elencados nas disposições determinadas pelos órgãos fiscais e fazendários, em conformidade com as instruções normativas vigentes.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highlight w:val="white"/>
        </w:rPr>
        <w:t xml:space="preserve">13.4. </w:t>
      </w:r>
      <w:r>
        <w:rPr>
          <w:rFonts w:eastAsia="Times New Roman" w:cs="Times New Roman" w:ascii="Times New Roman" w:hAnsi="Times New Roman"/>
          <w:color w:val="111111"/>
          <w:sz w:val="24"/>
          <w:szCs w:val="24"/>
          <w:highlight w:val="white"/>
        </w:rPr>
        <w:t>A atualização financeira dos valores a serem pagos será através do Sistema Nacional de Pesquisa de Custos e Índices de Construção Civil (SINAPI) conforme as disposições da Lei nº 10.192/2001 e do Decreto Municipal nº. 012/2013 de acordo com seus artigos e condições, onde:</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highlight w:val="white"/>
        </w:rPr>
        <w:t xml:space="preserve">13.4.1. </w:t>
      </w:r>
      <w:r>
        <w:rPr>
          <w:rFonts w:eastAsia="Times New Roman" w:cs="Times New Roman" w:ascii="Times New Roman" w:hAnsi="Times New Roman"/>
          <w:color w:val="111111"/>
          <w:sz w:val="24"/>
          <w:szCs w:val="24"/>
          <w:highlight w:val="white"/>
        </w:rPr>
        <w:t>A CONTRATANTE não poderá, em forma acumulativa, conceder reajuste anual e reequilíbrio econômico-financeiro sobre o mesmo período quando ambos estejam utilizando a mesma tabela oficial ou indexador, excetuados os casos devidamente justificados que visam à manutenção do equilíbrio econômico-financeiro do Contrato.</w:t>
      </w:r>
    </w:p>
    <w:p>
      <w:pPr>
        <w:pStyle w:val="Normal"/>
        <w:keepLines w:val="false"/>
        <w:widowControl/>
        <w:spacing w:before="240" w:after="288"/>
        <w:jc w:val="both"/>
        <w:rPr>
          <w:color w:val="111111"/>
        </w:rPr>
      </w:pPr>
      <w:r>
        <w:rPr>
          <w:rFonts w:eastAsia="Times New Roman" w:cs="Times New Roman" w:ascii="Times New Roman" w:hAnsi="Times New Roman"/>
          <w:b/>
          <w:color w:val="111111"/>
          <w:sz w:val="24"/>
          <w:szCs w:val="24"/>
          <w:highlight w:val="white"/>
        </w:rPr>
        <w:t xml:space="preserve">13.4.2. </w:t>
      </w:r>
      <w:r>
        <w:rPr>
          <w:rFonts w:eastAsia="Times New Roman" w:cs="Times New Roman" w:ascii="Times New Roman" w:hAnsi="Times New Roman"/>
          <w:color w:val="111111"/>
          <w:sz w:val="24"/>
          <w:szCs w:val="24"/>
          <w:highlight w:val="white"/>
        </w:rPr>
        <w:t>Nos contratos provenientes de valores baseados em tabelas oficiais, a data para concessão deverá ser utilizada como referência o mês e ano que foi usado como base na estimativa de preços, observando as peculiaridades de cada tabela.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13.6.</w:t>
      </w:r>
      <w:r>
        <w:rPr>
          <w:rFonts w:eastAsia="Times New Roman" w:cs="Times New Roman" w:ascii="Times New Roman" w:hAnsi="Times New Roman"/>
          <w:color w:val="111111"/>
          <w:sz w:val="24"/>
          <w:szCs w:val="24"/>
        </w:rPr>
        <w:t xml:space="preserve"> Para fins de adjudicação, homologação e empenho, o preço do item/grupo poderá sofrer, automaticamente, uma pequena variação </w:t>
      </w:r>
      <w:r>
        <w:rPr>
          <w:rFonts w:eastAsia="Times New Roman" w:cs="Times New Roman" w:ascii="Times New Roman" w:hAnsi="Times New Roman"/>
          <w:b/>
          <w:color w:val="111111"/>
          <w:sz w:val="24"/>
          <w:szCs w:val="24"/>
        </w:rPr>
        <w:t>para menos</w:t>
      </w:r>
      <w:r>
        <w:rPr>
          <w:rFonts w:eastAsia="Times New Roman" w:cs="Times New Roman" w:ascii="Times New Roman" w:hAnsi="Times New Roman"/>
          <w:color w:val="111111"/>
          <w:sz w:val="24"/>
          <w:szCs w:val="24"/>
        </w:rPr>
        <w:t xml:space="preserve">, resultante da necessidade de serem obtidos valores unitários com </w:t>
      </w:r>
      <w:r>
        <w:rPr>
          <w:rFonts w:eastAsia="Times New Roman" w:cs="Times New Roman" w:ascii="Times New Roman" w:hAnsi="Times New Roman"/>
          <w:b/>
          <w:color w:val="111111"/>
          <w:sz w:val="24"/>
          <w:szCs w:val="24"/>
        </w:rPr>
        <w:t>até duas casas decimais</w:t>
      </w:r>
      <w:r>
        <w:rPr>
          <w:rFonts w:eastAsia="Times New Roman" w:cs="Times New Roman" w:ascii="Times New Roman" w:hAnsi="Times New Roman"/>
          <w:color w:val="111111"/>
          <w:sz w:val="24"/>
          <w:szCs w:val="24"/>
        </w:rPr>
        <w:t xml:space="preserve">, sendo que serão desconsideradas todas as casas posteriores à </w:t>
      </w:r>
      <w:r>
        <w:rPr>
          <w:rFonts w:eastAsia="Times New Roman" w:cs="Times New Roman" w:ascii="Times New Roman" w:hAnsi="Times New Roman"/>
          <w:b/>
          <w:color w:val="111111"/>
          <w:sz w:val="24"/>
          <w:szCs w:val="24"/>
        </w:rPr>
        <w:t>segunda.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13.5. </w:t>
      </w:r>
      <w:r>
        <w:rPr>
          <w:rFonts w:eastAsia="Times New Roman" w:cs="Times New Roman" w:ascii="Times New Roman" w:hAnsi="Times New Roman"/>
          <w:color w:val="111111"/>
          <w:sz w:val="24"/>
          <w:szCs w:val="24"/>
        </w:rPr>
        <w:t>Poderá ser emitida nota de empenho em substituição ao contrato, nos termos do artigo 95, da Lei n.º 14.133/21, quando se tratar de fornecimento não-contínuo, para os itens com prazo de entrega imediata, integral e dos quais não resultem obrigações futuras.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13.6.</w:t>
      </w:r>
      <w:r>
        <w:rPr>
          <w:rFonts w:eastAsia="Times New Roman" w:cs="Times New Roman" w:ascii="Times New Roman" w:hAnsi="Times New Roman"/>
          <w:color w:val="111111"/>
          <w:sz w:val="24"/>
          <w:szCs w:val="24"/>
        </w:rPr>
        <w:t xml:space="preserve"> Havendo subcontratação de serviços autorizados por este Contrato e pelo Edital, a CONTRATADA deverá anexar às faturas, o Contrato de Prestação de Serviço firmado com a subcontratada e, se esta for pessoa jurídica, a CONTRATADA deverá anexar às faturas, ainda, cópias autenticadas das guias do INSS e do FGTS da subcontratada, acompanhadas da folha de pagamento dos empregados da subcontratada ligados diretamente ao serviço.</w:t>
      </w:r>
    </w:p>
    <w:p>
      <w:pPr>
        <w:pStyle w:val="Heading1"/>
        <w:rPr>
          <w:color w:val="111111"/>
        </w:rPr>
      </w:pPr>
      <w:r>
        <w:rPr>
          <w:color w:val="111111"/>
        </w:rPr>
        <w:t>14. DO REAJUSTE</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highlight w:val="white"/>
        </w:rPr>
        <w:t>14.1.</w:t>
      </w:r>
      <w:r>
        <w:rPr>
          <w:rFonts w:eastAsia="Times New Roman" w:cs="Times New Roman" w:ascii="Times New Roman" w:hAnsi="Times New Roman"/>
          <w:color w:val="111111"/>
          <w:sz w:val="24"/>
          <w:szCs w:val="24"/>
          <w:highlight w:val="white"/>
        </w:rPr>
        <w:t xml:space="preserve"> </w:t>
      </w:r>
      <w:r>
        <w:rPr>
          <w:rFonts w:eastAsia="Times New Roman" w:cs="Times New Roman" w:ascii="Times New Roman" w:hAnsi="Times New Roman"/>
          <w:color w:val="111111"/>
          <w:sz w:val="24"/>
          <w:szCs w:val="24"/>
        </w:rPr>
        <w:t>Os preços inicialmente contratados são fixos e irreajustáveis no prazo de 12 (doze) meses, contados da data do orçamento estimado;</w:t>
      </w:r>
    </w:p>
    <w:p>
      <w:pPr>
        <w:pStyle w:val="Normal"/>
        <w:keepLines w:val="false"/>
        <w:widowControl/>
        <w:shd w:val="clear" w:color="auto" w:fill="FFFFFF"/>
        <w:spacing w:before="200" w:after="288"/>
        <w:jc w:val="both"/>
        <w:rPr>
          <w:color w:val="111111"/>
        </w:rPr>
      </w:pPr>
      <w:r>
        <w:rPr>
          <w:rFonts w:eastAsia="Times New Roman" w:cs="Times New Roman" w:ascii="Times New Roman" w:hAnsi="Times New Roman"/>
          <w:b/>
          <w:color w:val="111111"/>
          <w:sz w:val="24"/>
          <w:szCs w:val="24"/>
        </w:rPr>
        <w:t>14.1.1.</w:t>
      </w:r>
      <w:r>
        <w:rPr>
          <w:rFonts w:eastAsia="Times New Roman" w:cs="Times New Roman" w:ascii="Times New Roman" w:hAnsi="Times New Roman"/>
          <w:color w:val="111111"/>
          <w:sz w:val="24"/>
          <w:szCs w:val="24"/>
        </w:rPr>
        <w:t xml:space="preserve"> Após o prazo inicial de 12 (doze) meses do subitem anterior, os preços iniciais poderão ser reajustados, mediante a aplicação, pela CONTRATANTE, do Sistema Nacional de Pesquisa de Custos e Índices da Construção Civil - SINAPI, exclusivamente para as obrigações iniciadas e concluídas após a ocorrência da anualidade.</w:t>
      </w:r>
    </w:p>
    <w:p>
      <w:pPr>
        <w:pStyle w:val="Normal"/>
        <w:keepLines w:val="false"/>
        <w:widowControl/>
        <w:shd w:val="clear" w:color="auto" w:fill="FFFFFF"/>
        <w:spacing w:before="200" w:after="288"/>
        <w:jc w:val="both"/>
        <w:rPr>
          <w:color w:val="111111"/>
        </w:rPr>
      </w:pPr>
      <w:r>
        <w:rPr>
          <w:rFonts w:eastAsia="Times New Roman" w:cs="Times New Roman" w:ascii="Times New Roman" w:hAnsi="Times New Roman"/>
          <w:b/>
          <w:color w:val="111111"/>
          <w:sz w:val="24"/>
          <w:szCs w:val="24"/>
        </w:rPr>
        <w:t xml:space="preserve">14.1.2. </w:t>
      </w:r>
      <w:r>
        <w:rPr>
          <w:rFonts w:eastAsia="Times New Roman" w:cs="Times New Roman" w:ascii="Times New Roman" w:hAnsi="Times New Roman"/>
          <w:color w:val="111111"/>
          <w:sz w:val="24"/>
          <w:szCs w:val="24"/>
        </w:rPr>
        <w:t>O reajuste deverá ser pleiteado pela CONTRATADA em até 90 (noventa) dias após a ocorrência do lapso temporal que o autoriza, nos termos do subitem anterior, desde que ainda vigente o contrato.</w:t>
      </w:r>
    </w:p>
    <w:p>
      <w:pPr>
        <w:pStyle w:val="Normal"/>
        <w:keepLines w:val="false"/>
        <w:widowControl/>
        <w:shd w:val="clear" w:color="auto" w:fill="FFFFFF"/>
        <w:spacing w:before="200" w:after="288"/>
        <w:jc w:val="both"/>
        <w:rPr>
          <w:color w:val="111111"/>
        </w:rPr>
      </w:pPr>
      <w:r>
        <w:rPr>
          <w:rFonts w:eastAsia="Times New Roman" w:cs="Times New Roman" w:ascii="Times New Roman" w:hAnsi="Times New Roman"/>
          <w:b/>
          <w:color w:val="111111"/>
          <w:sz w:val="24"/>
          <w:szCs w:val="24"/>
        </w:rPr>
        <w:t xml:space="preserve">14.1.3. </w:t>
      </w:r>
      <w:r>
        <w:rPr>
          <w:rFonts w:eastAsia="Times New Roman" w:cs="Times New Roman" w:ascii="Times New Roman" w:hAnsi="Times New Roman"/>
          <w:color w:val="111111"/>
          <w:sz w:val="24"/>
          <w:szCs w:val="24"/>
        </w:rPr>
        <w:t>Não requerido o reajuste no prazo previsto no subitem anterior, haverá a renúncia tácita a este.</w:t>
      </w:r>
    </w:p>
    <w:p>
      <w:pPr>
        <w:pStyle w:val="Normal"/>
        <w:keepLines w:val="false"/>
        <w:widowControl/>
        <w:shd w:val="clear" w:color="auto" w:fill="FFFFFF"/>
        <w:spacing w:before="200" w:after="288"/>
        <w:jc w:val="both"/>
        <w:rPr>
          <w:color w:val="111111"/>
        </w:rPr>
      </w:pPr>
      <w:r>
        <w:rPr>
          <w:rFonts w:eastAsia="Times New Roman" w:cs="Times New Roman" w:ascii="Times New Roman" w:hAnsi="Times New Roman"/>
          <w:b/>
          <w:color w:val="111111"/>
          <w:sz w:val="24"/>
          <w:szCs w:val="24"/>
        </w:rPr>
        <w:t>14.1.4.</w:t>
      </w:r>
      <w:r>
        <w:rPr>
          <w:rFonts w:eastAsia="Times New Roman" w:cs="Times New Roman" w:ascii="Times New Roman" w:hAnsi="Times New Roman"/>
          <w:color w:val="111111"/>
          <w:sz w:val="24"/>
          <w:szCs w:val="24"/>
        </w:rPr>
        <w:t xml:space="preserve"> Os pedidos de reajuste deverão ser encaminhados diretamente à Secretaria Municipal da Fazenda, aos cuidados do Gabinete do Secretário Adjunto da Despesa (SMF/GSAD).</w:t>
      </w:r>
    </w:p>
    <w:p>
      <w:pPr>
        <w:pStyle w:val="Heading1"/>
        <w:rPr>
          <w:color w:val="111111"/>
        </w:rPr>
      </w:pPr>
      <w:r>
        <w:rPr>
          <w:color w:val="111111"/>
        </w:rPr>
        <w:t>15. DA GARANTIA DE EXECUÇÃO CONTRATUAL</w:t>
      </w:r>
    </w:p>
    <w:p>
      <w:pPr>
        <w:pStyle w:val="Normal"/>
        <w:keepLines w:val="false"/>
        <w:widowControl/>
        <w:spacing w:before="200" w:after="240"/>
        <w:jc w:val="both"/>
        <w:rPr>
          <w:color w:val="111111"/>
        </w:rPr>
      </w:pPr>
      <w:r>
        <w:rPr>
          <w:rFonts w:eastAsia="Times New Roman" w:cs="Times New Roman" w:ascii="Times New Roman" w:hAnsi="Times New Roman"/>
          <w:b/>
          <w:color w:val="111111"/>
          <w:sz w:val="24"/>
          <w:szCs w:val="24"/>
        </w:rPr>
        <w:t>15.1</w:t>
      </w:r>
      <w:r>
        <w:rPr>
          <w:rFonts w:eastAsia="Times New Roman" w:cs="Times New Roman" w:ascii="Times New Roman" w:hAnsi="Times New Roman"/>
          <w:color w:val="111111"/>
          <w:sz w:val="24"/>
          <w:szCs w:val="24"/>
        </w:rPr>
        <w:t>.</w:t>
        <w:tab/>
        <w:t>Deverá ser prestada garantia de execução contratual de 5% (cinco por cento) do valor inicial do contrato.</w:t>
      </w:r>
    </w:p>
    <w:p>
      <w:pPr>
        <w:pStyle w:val="Heading1"/>
        <w:rPr>
          <w:color w:val="111111"/>
        </w:rPr>
      </w:pPr>
      <w:r>
        <w:rPr>
          <w:color w:val="111111"/>
        </w:rPr>
        <w:t>16. DO ATENDIMENTO AO DISPOSTO NA LEI GERAL DE PROTEÇÃO DE DADOS – LEI N. 13.709/2018 (LGPD)</w:t>
      </w:r>
    </w:p>
    <w:p>
      <w:pPr>
        <w:pStyle w:val="Heading2"/>
        <w:rPr>
          <w:color w:val="111111"/>
        </w:rPr>
      </w:pPr>
      <w:r>
        <w:rPr>
          <w:color w:val="111111"/>
        </w:rPr>
        <w:t xml:space="preserve">16.1. </w:t>
      </w:r>
      <w:r>
        <w:rPr>
          <w:b w:val="false"/>
          <w:color w:val="111111"/>
        </w:rPr>
        <w:t>A CONTRATADA fica obrigada 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a)</w:t>
      </w:r>
      <w:r>
        <w:rPr>
          <w:rFonts w:eastAsia="Times New Roman" w:cs="Times New Roman" w:ascii="Times New Roman" w:hAnsi="Times New Roman"/>
          <w:color w:val="111111"/>
          <w:sz w:val="24"/>
          <w:szCs w:val="24"/>
        </w:rPr>
        <w:t xml:space="preserve"> cumprir as solicitações da Autoridade Nacional de Proteção de Dados (ANPD);</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b) </w:t>
      </w:r>
      <w:r>
        <w:rPr>
          <w:rFonts w:eastAsia="Times New Roman" w:cs="Times New Roman" w:ascii="Times New Roman" w:hAnsi="Times New Roman"/>
          <w:color w:val="111111"/>
          <w:sz w:val="24"/>
          <w:szCs w:val="24"/>
        </w:rPr>
        <w:t xml:space="preserve">cumprir com o estabelecido pelo </w:t>
      </w:r>
      <w:r>
        <w:rPr>
          <w:rFonts w:eastAsia="Times New Roman" w:cs="Times New Roman" w:ascii="Times New Roman" w:hAnsi="Times New Roman"/>
          <w:color w:val="111111"/>
          <w:sz w:val="24"/>
          <w:szCs w:val="24"/>
          <w:highlight w:val="white"/>
        </w:rPr>
        <w:t>CONTRATANTE</w:t>
      </w:r>
      <w:r>
        <w:rPr>
          <w:rFonts w:eastAsia="Times New Roman" w:cs="Times New Roman" w:ascii="Times New Roman" w:hAnsi="Times New Roman"/>
          <w:color w:val="111111"/>
          <w:sz w:val="24"/>
          <w:szCs w:val="24"/>
        </w:rPr>
        <w:t xml:space="preserve"> para o tratamento de dados e dentro das finalidades necessárias ao cumprimento do objeto contratado;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c) </w:t>
      </w:r>
      <w:r>
        <w:rPr>
          <w:rFonts w:eastAsia="Times New Roman" w:cs="Times New Roman" w:ascii="Times New Roman" w:hAnsi="Times New Roman"/>
          <w:color w:val="111111"/>
          <w:sz w:val="24"/>
          <w:szCs w:val="24"/>
        </w:rPr>
        <w:t>guardar o mais absoluto sigilo sobre os dados pessoais que lhes forem confiados por força da execução do contrato, estendendo tal obrigação a eventuais empregados, assumindo a responsabilidade e as consequências advindas da sua divulgação não autorizada ou utilização indevida, inclusive cível e penal;</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d) </w:t>
      </w:r>
      <w:r>
        <w:rPr>
          <w:rFonts w:eastAsia="Times New Roman" w:cs="Times New Roman" w:ascii="Times New Roman" w:hAnsi="Times New Roman"/>
          <w:color w:val="111111"/>
          <w:sz w:val="24"/>
          <w:szCs w:val="24"/>
        </w:rPr>
        <w:t>não utilizar os dados obtidos por meio desse ajuste para finalidade diversa;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e) </w:t>
      </w:r>
      <w:r>
        <w:rPr>
          <w:rFonts w:eastAsia="Times New Roman" w:cs="Times New Roman" w:ascii="Times New Roman" w:hAnsi="Times New Roman"/>
          <w:color w:val="111111"/>
          <w:sz w:val="24"/>
          <w:szCs w:val="24"/>
        </w:rPr>
        <w:t xml:space="preserve">notificar o </w:t>
      </w:r>
      <w:r>
        <w:rPr>
          <w:rFonts w:eastAsia="Times New Roman" w:cs="Times New Roman" w:ascii="Times New Roman" w:hAnsi="Times New Roman"/>
          <w:color w:val="111111"/>
          <w:sz w:val="24"/>
          <w:szCs w:val="24"/>
          <w:highlight w:val="white"/>
        </w:rPr>
        <w:t>CONTRATANTE</w:t>
      </w:r>
      <w:r>
        <w:rPr>
          <w:rFonts w:eastAsia="Times New Roman" w:cs="Times New Roman" w:ascii="Times New Roman" w:hAnsi="Times New Roman"/>
          <w:color w:val="111111"/>
          <w:sz w:val="24"/>
          <w:szCs w:val="24"/>
        </w:rPr>
        <w:t xml:space="preserve"> em caso de vazamento de dados que conduza à destruição, perda, alteração ou divulgação não autorizada de dados, por escrito, no prazo máximo de 24 (vinte e quatro) horas contadas da descoberta da referida violação;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f) </w:t>
      </w:r>
      <w:r>
        <w:rPr>
          <w:rFonts w:eastAsia="Times New Roman" w:cs="Times New Roman" w:ascii="Times New Roman" w:hAnsi="Times New Roman"/>
          <w:color w:val="111111"/>
          <w:sz w:val="24"/>
          <w:szCs w:val="24"/>
        </w:rPr>
        <w:t xml:space="preserve">fornecer informações úteis ao </w:t>
      </w:r>
      <w:r>
        <w:rPr>
          <w:rFonts w:eastAsia="Times New Roman" w:cs="Times New Roman" w:ascii="Times New Roman" w:hAnsi="Times New Roman"/>
          <w:color w:val="111111"/>
          <w:sz w:val="24"/>
          <w:szCs w:val="24"/>
          <w:highlight w:val="white"/>
        </w:rPr>
        <w:t>CONTRATANTE</w:t>
      </w:r>
      <w:r>
        <w:rPr>
          <w:rFonts w:eastAsia="Times New Roman" w:cs="Times New Roman" w:ascii="Times New Roman" w:hAnsi="Times New Roman"/>
          <w:color w:val="111111"/>
          <w:sz w:val="24"/>
          <w:szCs w:val="24"/>
        </w:rPr>
        <w:t xml:space="preserve"> sobre a natureza e âmbito dos Dados Pessoais possivelmente afetados e as medidas corretivas tomadas ou planejadas;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g) </w:t>
      </w:r>
      <w:r>
        <w:rPr>
          <w:rFonts w:eastAsia="Times New Roman" w:cs="Times New Roman" w:ascii="Times New Roman" w:hAnsi="Times New Roman"/>
          <w:color w:val="111111"/>
          <w:sz w:val="24"/>
          <w:szCs w:val="24"/>
        </w:rPr>
        <w:t>implementar medidas corretivas a fim de impedir violações e a fim de limitar o seu impacto sobre os titulares de dados, na medida do possível.</w:t>
      </w:r>
    </w:p>
    <w:p>
      <w:pPr>
        <w:pStyle w:val="Heading1"/>
        <w:rPr>
          <w:color w:val="111111"/>
        </w:rPr>
      </w:pPr>
      <w:r>
        <w:rPr>
          <w:color w:val="111111"/>
        </w:rPr>
        <w:t>17. DAS SANÇÕES ADMINISTRATIVAS</w:t>
      </w:r>
    </w:p>
    <w:p>
      <w:pPr>
        <w:pStyle w:val="Normal"/>
        <w:keepLines w:val="false"/>
        <w:widowControl/>
        <w:spacing w:before="240" w:after="288"/>
        <w:jc w:val="both"/>
        <w:rPr>
          <w:color w:val="111111"/>
        </w:rPr>
      </w:pPr>
      <w:r>
        <w:rPr>
          <w:rFonts w:eastAsia="Times New Roman" w:cs="Times New Roman" w:ascii="Times New Roman" w:hAnsi="Times New Roman"/>
          <w:b/>
          <w:color w:val="111111"/>
          <w:sz w:val="24"/>
          <w:szCs w:val="24"/>
        </w:rPr>
        <w:t>17.1.</w:t>
      </w:r>
      <w:r>
        <w:rPr>
          <w:rFonts w:eastAsia="Times New Roman" w:cs="Times New Roman" w:ascii="Times New Roman" w:hAnsi="Times New Roman"/>
          <w:color w:val="111111"/>
          <w:sz w:val="24"/>
          <w:szCs w:val="24"/>
        </w:rPr>
        <w:t xml:space="preserve"> Ao fornecedor responsável pelas infrações administrativas dispostas no art. 155 da Lei Federal nº 14.133, de 2021, poderão ser aplicadas as seguintes sanções:</w:t>
      </w:r>
    </w:p>
    <w:p>
      <w:pPr>
        <w:pStyle w:val="Normal"/>
        <w:keepLines w:val="false"/>
        <w:widowControl/>
        <w:spacing w:before="240" w:after="288"/>
        <w:ind w:firstLine="400"/>
        <w:jc w:val="both"/>
        <w:rPr>
          <w:color w:val="111111"/>
        </w:rPr>
      </w:pPr>
      <w:r>
        <w:rPr>
          <w:rFonts w:eastAsia="Times New Roman" w:cs="Times New Roman" w:ascii="Times New Roman" w:hAnsi="Times New Roman"/>
          <w:color w:val="111111"/>
          <w:sz w:val="24"/>
          <w:szCs w:val="24"/>
        </w:rPr>
        <w:t>I – advertência;</w:t>
      </w:r>
    </w:p>
    <w:p>
      <w:pPr>
        <w:pStyle w:val="Normal"/>
        <w:keepLines w:val="false"/>
        <w:widowControl/>
        <w:spacing w:before="240" w:after="288"/>
        <w:ind w:firstLine="400"/>
        <w:jc w:val="both"/>
        <w:rPr>
          <w:color w:val="111111"/>
        </w:rPr>
      </w:pPr>
      <w:r>
        <w:rPr>
          <w:rFonts w:eastAsia="Times New Roman" w:cs="Times New Roman" w:ascii="Times New Roman" w:hAnsi="Times New Roman"/>
          <w:color w:val="111111"/>
          <w:sz w:val="24"/>
          <w:szCs w:val="24"/>
        </w:rPr>
        <w:t>II – multa;</w:t>
      </w:r>
    </w:p>
    <w:p>
      <w:pPr>
        <w:pStyle w:val="Normal"/>
        <w:keepLines w:val="false"/>
        <w:widowControl/>
        <w:spacing w:before="240" w:after="288"/>
        <w:ind w:firstLine="400"/>
        <w:jc w:val="both"/>
        <w:rPr>
          <w:color w:val="111111"/>
        </w:rPr>
      </w:pPr>
      <w:r>
        <w:rPr>
          <w:rFonts w:eastAsia="Times New Roman" w:cs="Times New Roman" w:ascii="Times New Roman" w:hAnsi="Times New Roman"/>
          <w:color w:val="111111"/>
          <w:sz w:val="24"/>
          <w:szCs w:val="24"/>
        </w:rPr>
        <w:t>a) compensatória; e</w:t>
      </w:r>
    </w:p>
    <w:p>
      <w:pPr>
        <w:pStyle w:val="Normal"/>
        <w:keepLines w:val="false"/>
        <w:widowControl/>
        <w:spacing w:before="240" w:after="288"/>
        <w:ind w:firstLine="400"/>
        <w:jc w:val="both"/>
        <w:rPr>
          <w:color w:val="111111"/>
        </w:rPr>
      </w:pPr>
      <w:r>
        <w:rPr>
          <w:rFonts w:eastAsia="Times New Roman" w:cs="Times New Roman" w:ascii="Times New Roman" w:hAnsi="Times New Roman"/>
          <w:color w:val="111111"/>
          <w:sz w:val="24"/>
          <w:szCs w:val="24"/>
        </w:rPr>
        <w:t>b) de mora. III – impedimento de licitar e contratar;</w:t>
      </w:r>
    </w:p>
    <w:p>
      <w:pPr>
        <w:pStyle w:val="Normal"/>
        <w:keepLines w:val="false"/>
        <w:widowControl/>
        <w:spacing w:before="240" w:after="288"/>
        <w:ind w:firstLine="400"/>
        <w:jc w:val="both"/>
        <w:rPr>
          <w:color w:val="111111"/>
        </w:rPr>
      </w:pPr>
      <w:r>
        <w:rPr>
          <w:rFonts w:eastAsia="Times New Roman" w:cs="Times New Roman" w:ascii="Times New Roman" w:hAnsi="Times New Roman"/>
          <w:color w:val="111111"/>
          <w:sz w:val="24"/>
          <w:szCs w:val="24"/>
        </w:rPr>
        <w:t>IV – declaração de inidoneidade para licitar ou contratar.</w:t>
      </w:r>
    </w:p>
    <w:p>
      <w:pPr>
        <w:pStyle w:val="Normal"/>
        <w:keepLines w:val="false"/>
        <w:widowControl/>
        <w:spacing w:before="240" w:after="288"/>
        <w:jc w:val="both"/>
        <w:rPr>
          <w:color w:val="111111"/>
        </w:rPr>
      </w:pPr>
      <w:r>
        <w:rPr>
          <w:rFonts w:eastAsia="Times New Roman" w:cs="Times New Roman" w:ascii="Times New Roman" w:hAnsi="Times New Roman"/>
          <w:b/>
          <w:color w:val="111111"/>
          <w:sz w:val="24"/>
          <w:szCs w:val="24"/>
        </w:rPr>
        <w:t xml:space="preserve">17.1.1. </w:t>
      </w:r>
      <w:r>
        <w:rPr>
          <w:rFonts w:eastAsia="Times New Roman" w:cs="Times New Roman" w:ascii="Times New Roman" w:hAnsi="Times New Roman"/>
          <w:color w:val="111111"/>
          <w:sz w:val="24"/>
          <w:szCs w:val="24"/>
        </w:rPr>
        <w:t>As sanções previstas nos incisos I, III e IV do item 16.1. poderão ser aplicadas cumulativamente com a prevista no inciso II, alínea “a”.</w:t>
      </w:r>
    </w:p>
    <w:p>
      <w:pPr>
        <w:pStyle w:val="Normal"/>
        <w:keepLines w:val="false"/>
        <w:widowControl/>
        <w:spacing w:before="240" w:after="288"/>
        <w:jc w:val="both"/>
        <w:rPr>
          <w:color w:val="111111"/>
        </w:rPr>
      </w:pPr>
      <w:r>
        <w:rPr>
          <w:rFonts w:eastAsia="Times New Roman" w:cs="Times New Roman" w:ascii="Times New Roman" w:hAnsi="Times New Roman"/>
          <w:b/>
          <w:color w:val="111111"/>
          <w:sz w:val="24"/>
          <w:szCs w:val="24"/>
        </w:rPr>
        <w:t xml:space="preserve">17.1.2. </w:t>
      </w:r>
      <w:r>
        <w:rPr>
          <w:rFonts w:eastAsia="Times New Roman" w:cs="Times New Roman" w:ascii="Times New Roman" w:hAnsi="Times New Roman"/>
          <w:color w:val="111111"/>
          <w:sz w:val="24"/>
          <w:szCs w:val="24"/>
        </w:rPr>
        <w:t>A sanção de advertência somente poderá ser aplicada de forma isolada em hipóteses de inexistência de prejuízo ao erário, ao funcionamento dos serviços públicos ou aos munícipes, ainda que indiretamente.</w:t>
      </w:r>
    </w:p>
    <w:p>
      <w:pPr>
        <w:pStyle w:val="Normal"/>
        <w:keepLines w:val="false"/>
        <w:widowControl/>
        <w:spacing w:before="240" w:after="288"/>
        <w:jc w:val="both"/>
        <w:rPr>
          <w:color w:val="111111"/>
        </w:rPr>
      </w:pPr>
      <w:r>
        <w:rPr>
          <w:rFonts w:eastAsia="Times New Roman" w:cs="Times New Roman" w:ascii="Times New Roman" w:hAnsi="Times New Roman"/>
          <w:b/>
          <w:color w:val="111111"/>
          <w:sz w:val="24"/>
          <w:szCs w:val="24"/>
        </w:rPr>
        <w:t xml:space="preserve">17.1.3 </w:t>
      </w:r>
      <w:r>
        <w:rPr>
          <w:rFonts w:eastAsia="Times New Roman" w:cs="Times New Roman" w:ascii="Times New Roman" w:hAnsi="Times New Roman"/>
          <w:color w:val="111111"/>
          <w:sz w:val="24"/>
          <w:szCs w:val="24"/>
        </w:rPr>
        <w:t>A advertência não poderá ser aplicada de forma isolada quando o fornecedor for reincidente.</w:t>
      </w:r>
    </w:p>
    <w:p>
      <w:pPr>
        <w:pStyle w:val="Normal"/>
        <w:keepLines w:val="false"/>
        <w:widowControl/>
        <w:spacing w:before="240" w:after="288"/>
        <w:jc w:val="both"/>
        <w:rPr>
          <w:color w:val="111111"/>
        </w:rPr>
      </w:pPr>
      <w:r>
        <w:rPr>
          <w:rFonts w:eastAsia="Times New Roman" w:cs="Times New Roman" w:ascii="Times New Roman" w:hAnsi="Times New Roman"/>
          <w:b/>
          <w:color w:val="111111"/>
          <w:sz w:val="24"/>
          <w:szCs w:val="24"/>
        </w:rPr>
        <w:t xml:space="preserve">17.1.4. </w:t>
      </w:r>
      <w:r>
        <w:rPr>
          <w:rFonts w:eastAsia="Times New Roman" w:cs="Times New Roman" w:ascii="Times New Roman" w:hAnsi="Times New Roman"/>
          <w:color w:val="111111"/>
          <w:sz w:val="24"/>
          <w:szCs w:val="24"/>
        </w:rPr>
        <w:t>A sanção de multa compensatória será aplicada ao responsável por qualquer das infrações administrativas previstas no art. 155 da Lei Federal nº 14.133, de 2021, calculada na forma prevista no instrumento convocatório ou no contrato, não podendo ser inferior a 1% (um por cento) nem superior a 30% (trinta por cento) do valor contratado, observando-se os parâmetros dispostos nos arts. 5º e 11 do Decreto Municipal nº 59/2024.</w:t>
      </w:r>
    </w:p>
    <w:p>
      <w:pPr>
        <w:pStyle w:val="Normal"/>
        <w:keepLines w:val="false"/>
        <w:widowControl/>
        <w:spacing w:before="240" w:after="288"/>
        <w:jc w:val="both"/>
        <w:rPr>
          <w:color w:val="111111"/>
        </w:rPr>
      </w:pPr>
      <w:r>
        <w:rPr>
          <w:rFonts w:eastAsia="Times New Roman" w:cs="Times New Roman" w:ascii="Times New Roman" w:hAnsi="Times New Roman"/>
          <w:b/>
          <w:color w:val="111111"/>
          <w:sz w:val="24"/>
          <w:szCs w:val="24"/>
        </w:rPr>
        <w:t>17.1.5.</w:t>
      </w:r>
      <w:r>
        <w:rPr>
          <w:rFonts w:eastAsia="Times New Roman" w:cs="Times New Roman" w:ascii="Times New Roman" w:hAnsi="Times New Roman"/>
          <w:color w:val="111111"/>
          <w:sz w:val="24"/>
          <w:szCs w:val="24"/>
        </w:rPr>
        <w:t xml:space="preserve"> O valor da multa de mora ou compensatória aplicada será:</w:t>
      </w:r>
    </w:p>
    <w:p>
      <w:pPr>
        <w:pStyle w:val="Normal"/>
        <w:keepLines w:val="false"/>
        <w:widowControl/>
        <w:spacing w:before="240" w:after="288"/>
        <w:ind w:firstLine="400"/>
        <w:jc w:val="both"/>
        <w:rPr>
          <w:color w:val="111111"/>
        </w:rPr>
      </w:pPr>
      <w:r>
        <w:rPr>
          <w:rFonts w:eastAsia="Times New Roman" w:cs="Times New Roman" w:ascii="Times New Roman" w:hAnsi="Times New Roman"/>
          <w:color w:val="111111"/>
          <w:sz w:val="24"/>
          <w:szCs w:val="24"/>
        </w:rPr>
        <w:t>I – retido dos pagamentos devidos pelo órgão ou entidade, incluindo pagamentos decorrentes de outros contratos firmados com o contratado;</w:t>
      </w:r>
    </w:p>
    <w:p>
      <w:pPr>
        <w:pStyle w:val="Normal"/>
        <w:keepLines w:val="false"/>
        <w:widowControl/>
        <w:spacing w:before="240" w:after="288"/>
        <w:ind w:firstLine="400"/>
        <w:jc w:val="both"/>
        <w:rPr>
          <w:color w:val="111111"/>
        </w:rPr>
      </w:pPr>
      <w:r>
        <w:rPr>
          <w:rFonts w:eastAsia="Times New Roman" w:cs="Times New Roman" w:ascii="Times New Roman" w:hAnsi="Times New Roman"/>
          <w:color w:val="111111"/>
          <w:sz w:val="24"/>
          <w:szCs w:val="24"/>
        </w:rPr>
        <w:t>II – descontado do valor da garantia prestada, se houver;</w:t>
      </w:r>
    </w:p>
    <w:p>
      <w:pPr>
        <w:pStyle w:val="Normal"/>
        <w:keepLines w:val="false"/>
        <w:widowControl/>
        <w:spacing w:before="240" w:after="288"/>
        <w:ind w:firstLine="400"/>
        <w:jc w:val="both"/>
        <w:rPr>
          <w:color w:val="111111"/>
        </w:rPr>
      </w:pPr>
      <w:r>
        <w:rPr>
          <w:rFonts w:eastAsia="Times New Roman" w:cs="Times New Roman" w:ascii="Times New Roman" w:hAnsi="Times New Roman"/>
          <w:color w:val="111111"/>
          <w:sz w:val="24"/>
          <w:szCs w:val="24"/>
        </w:rPr>
        <w:t>III – pago por meio de documento próprio de arrecadação do Município; ou</w:t>
      </w:r>
    </w:p>
    <w:p>
      <w:pPr>
        <w:pStyle w:val="Normal"/>
        <w:keepLines w:val="false"/>
        <w:widowControl/>
        <w:spacing w:before="240" w:after="288"/>
        <w:ind w:firstLine="400"/>
        <w:jc w:val="both"/>
        <w:rPr>
          <w:color w:val="111111"/>
        </w:rPr>
      </w:pPr>
      <w:r>
        <w:rPr>
          <w:rFonts w:eastAsia="Times New Roman" w:cs="Times New Roman" w:ascii="Times New Roman" w:hAnsi="Times New Roman"/>
          <w:color w:val="111111"/>
          <w:sz w:val="24"/>
          <w:szCs w:val="24"/>
        </w:rPr>
        <w:t>IV – cobrado judicialmente.</w:t>
      </w:r>
    </w:p>
    <w:p>
      <w:pPr>
        <w:pStyle w:val="Normal"/>
        <w:keepLines w:val="false"/>
        <w:widowControl/>
        <w:spacing w:before="240" w:after="288"/>
        <w:jc w:val="both"/>
        <w:rPr>
          <w:color w:val="111111"/>
        </w:rPr>
      </w:pPr>
      <w:r>
        <w:rPr>
          <w:rFonts w:eastAsia="Times New Roman" w:cs="Times New Roman" w:ascii="Times New Roman" w:hAnsi="Times New Roman"/>
          <w:b/>
          <w:color w:val="111111"/>
          <w:sz w:val="24"/>
          <w:szCs w:val="24"/>
        </w:rPr>
        <w:t>17.1.5.1.</w:t>
      </w:r>
      <w:r>
        <w:rPr>
          <w:rFonts w:eastAsia="Times New Roman" w:cs="Times New Roman" w:ascii="Times New Roman" w:hAnsi="Times New Roman"/>
          <w:color w:val="111111"/>
          <w:sz w:val="24"/>
          <w:szCs w:val="24"/>
        </w:rPr>
        <w:t xml:space="preserve"> O não pagamento do valor integral das multas arbitradas poderá ser objeto de protesto, nos termos do art. 1º da Lei Federal nº 9.492 de 1997.</w:t>
      </w:r>
    </w:p>
    <w:p>
      <w:pPr>
        <w:pStyle w:val="Normal"/>
        <w:keepLines w:val="false"/>
        <w:widowControl/>
        <w:spacing w:before="240" w:after="288"/>
        <w:jc w:val="both"/>
        <w:rPr>
          <w:color w:val="111111"/>
        </w:rPr>
      </w:pPr>
      <w:r>
        <w:rPr>
          <w:rFonts w:eastAsia="Times New Roman" w:cs="Times New Roman" w:ascii="Times New Roman" w:hAnsi="Times New Roman"/>
          <w:b/>
          <w:color w:val="111111"/>
          <w:sz w:val="24"/>
          <w:szCs w:val="24"/>
        </w:rPr>
        <w:t xml:space="preserve">17.1.6. </w:t>
      </w:r>
      <w:r>
        <w:rPr>
          <w:rFonts w:eastAsia="Times New Roman" w:cs="Times New Roman" w:ascii="Times New Roman" w:hAnsi="Times New Roman"/>
          <w:color w:val="111111"/>
          <w:sz w:val="24"/>
          <w:szCs w:val="24"/>
        </w:rPr>
        <w:t>Será aplicada a sanção de impedimento de licitar e contratar com a Administração Pública Municipal, pelo prazo máximo de 3 (três) anos, quando não se justificar a imposição de penalidade mais grave, observando-se os parâmetros estabelecidos no arts. 7º e 11 do Decreto Municipal nº 59/2024.</w:t>
      </w:r>
    </w:p>
    <w:p>
      <w:pPr>
        <w:pStyle w:val="Normal"/>
        <w:keepLines w:val="false"/>
        <w:widowControl/>
        <w:spacing w:before="240" w:after="288"/>
        <w:jc w:val="both"/>
        <w:rPr>
          <w:color w:val="111111"/>
        </w:rPr>
      </w:pPr>
      <w:r>
        <w:rPr>
          <w:rFonts w:eastAsia="Times New Roman" w:cs="Times New Roman" w:ascii="Times New Roman" w:hAnsi="Times New Roman"/>
          <w:b/>
          <w:color w:val="111111"/>
          <w:sz w:val="24"/>
          <w:szCs w:val="24"/>
        </w:rPr>
        <w:t xml:space="preserve">17.1.7. </w:t>
      </w:r>
      <w:r>
        <w:rPr>
          <w:rFonts w:eastAsia="Times New Roman" w:cs="Times New Roman" w:ascii="Times New Roman" w:hAnsi="Times New Roman"/>
          <w:color w:val="111111"/>
          <w:sz w:val="24"/>
          <w:szCs w:val="24"/>
        </w:rPr>
        <w:t>Será aplicada a sanção de declaração de inidoneidade para licitar e contratar com a Administração Pública direta e indireta, de todos os entes federativos, pelo prazo mínimo de 3 (três) e máximo de 6 (seis) anos, observando-se os parâmetros estabelecidos no art. 11 do Decreto Municipal nº 59/2024, aos responsáveis pelas seguintes infrações:</w:t>
      </w:r>
    </w:p>
    <w:p>
      <w:pPr>
        <w:pStyle w:val="Normal"/>
        <w:keepLines w:val="false"/>
        <w:widowControl/>
        <w:spacing w:before="240" w:after="288"/>
        <w:ind w:firstLine="400"/>
        <w:jc w:val="both"/>
        <w:rPr>
          <w:color w:val="111111"/>
        </w:rPr>
      </w:pPr>
      <w:r>
        <w:rPr>
          <w:rFonts w:eastAsia="Times New Roman" w:cs="Times New Roman" w:ascii="Times New Roman" w:hAnsi="Times New Roman"/>
          <w:color w:val="111111"/>
          <w:sz w:val="24"/>
          <w:szCs w:val="24"/>
        </w:rPr>
        <w:t>I - apresentar declaração ou documentação falsa exigida para o certame ou prestar declaração falsa durante a licitação ou a execução do contrato;</w:t>
      </w:r>
    </w:p>
    <w:p>
      <w:pPr>
        <w:pStyle w:val="Normal"/>
        <w:keepLines w:val="false"/>
        <w:widowControl/>
        <w:spacing w:before="240" w:after="0"/>
        <w:ind w:firstLine="400"/>
        <w:jc w:val="both"/>
        <w:rPr>
          <w:color w:val="111111"/>
        </w:rPr>
      </w:pPr>
      <w:r>
        <w:rPr>
          <w:rFonts w:eastAsia="Times New Roman" w:cs="Times New Roman" w:ascii="Times New Roman" w:hAnsi="Times New Roman"/>
          <w:color w:val="111111"/>
          <w:sz w:val="24"/>
          <w:szCs w:val="24"/>
        </w:rPr>
        <w:t>II - fraudar a licitação ou praticar ato fraudulento na execução do contrato;</w:t>
      </w:r>
    </w:p>
    <w:p>
      <w:pPr>
        <w:pStyle w:val="Normal"/>
        <w:keepLines w:val="false"/>
        <w:widowControl/>
        <w:spacing w:before="240" w:after="0"/>
        <w:ind w:firstLine="400"/>
        <w:jc w:val="both"/>
        <w:rPr>
          <w:color w:val="111111"/>
        </w:rPr>
      </w:pPr>
      <w:r>
        <w:rPr>
          <w:rFonts w:eastAsia="Times New Roman" w:cs="Times New Roman" w:ascii="Times New Roman" w:hAnsi="Times New Roman"/>
          <w:color w:val="111111"/>
          <w:sz w:val="24"/>
          <w:szCs w:val="24"/>
        </w:rPr>
        <w:t>III - comportar-se de modo inidôneo ou cometer fraude de qualquer natureza;</w:t>
      </w:r>
    </w:p>
    <w:p>
      <w:pPr>
        <w:pStyle w:val="Normal"/>
        <w:keepLines w:val="false"/>
        <w:widowControl/>
        <w:spacing w:before="240" w:after="0"/>
        <w:ind w:firstLine="400"/>
        <w:jc w:val="both"/>
        <w:rPr>
          <w:color w:val="111111"/>
        </w:rPr>
      </w:pPr>
      <w:r>
        <w:rPr>
          <w:rFonts w:eastAsia="Times New Roman" w:cs="Times New Roman" w:ascii="Times New Roman" w:hAnsi="Times New Roman"/>
          <w:color w:val="111111"/>
          <w:sz w:val="24"/>
          <w:szCs w:val="24"/>
        </w:rPr>
        <w:t>IV - praticar atos ilícitos com vistas a frustrar os objetivos da licitação;</w:t>
      </w:r>
    </w:p>
    <w:p>
      <w:pPr>
        <w:pStyle w:val="Normal"/>
        <w:keepLines w:val="false"/>
        <w:widowControl/>
        <w:spacing w:before="240" w:after="0"/>
        <w:ind w:firstLine="400"/>
        <w:jc w:val="both"/>
        <w:rPr>
          <w:color w:val="111111"/>
        </w:rPr>
      </w:pPr>
      <w:r>
        <w:rPr>
          <w:rFonts w:eastAsia="Times New Roman" w:cs="Times New Roman" w:ascii="Times New Roman" w:hAnsi="Times New Roman"/>
          <w:color w:val="111111"/>
          <w:sz w:val="24"/>
          <w:szCs w:val="24"/>
        </w:rPr>
        <w:t>V - praticar ato lesivo previsto no art. 5º da Lei Federal nº 12.846, de 1º de agosto de 2013.</w:t>
      </w:r>
    </w:p>
    <w:p>
      <w:pPr>
        <w:pStyle w:val="Normal"/>
        <w:keepLines w:val="false"/>
        <w:widowControl/>
        <w:spacing w:before="240" w:after="288"/>
        <w:jc w:val="both"/>
        <w:rPr>
          <w:color w:val="111111"/>
        </w:rPr>
      </w:pPr>
      <w:r>
        <w:rPr>
          <w:rFonts w:eastAsia="Times New Roman" w:cs="Times New Roman" w:ascii="Times New Roman" w:hAnsi="Times New Roman"/>
          <w:b/>
          <w:color w:val="111111"/>
          <w:sz w:val="24"/>
          <w:szCs w:val="24"/>
        </w:rPr>
        <w:t xml:space="preserve">17.1.8. </w:t>
      </w:r>
      <w:r>
        <w:rPr>
          <w:rFonts w:eastAsia="Times New Roman" w:cs="Times New Roman" w:ascii="Times New Roman" w:hAnsi="Times New Roman"/>
          <w:color w:val="111111"/>
          <w:sz w:val="24"/>
          <w:szCs w:val="24"/>
        </w:rPr>
        <w:t>Os demais procedimentos relativos às apurações de infrações, aplicação de sanções administrativas aos fornecedores, bem como as respectivas dosimetrias destas, serão regidos pelo Decreto Municipal nº 59, de 8 de Fevereiro de 2024 e pela Lei Federal nº 14.133, de 1º de Abril de 2021.</w:t>
      </w:r>
    </w:p>
    <w:p>
      <w:pPr>
        <w:pStyle w:val="Heading1"/>
        <w:rPr>
          <w:color w:val="111111"/>
        </w:rPr>
      </w:pPr>
      <w:r>
        <w:rPr>
          <w:color w:val="111111"/>
        </w:rPr>
        <w:t>18. DA DOTAÇÃO ORÇAMENTÁRIA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18.1.</w:t>
      </w:r>
      <w:r>
        <w:rPr>
          <w:rFonts w:eastAsia="Times New Roman" w:cs="Times New Roman" w:ascii="Times New Roman" w:hAnsi="Times New Roman"/>
          <w:color w:val="111111"/>
          <w:sz w:val="24"/>
          <w:szCs w:val="24"/>
        </w:rPr>
        <w:t xml:space="preserve"> As despesas decorrentes deste objeto correrão por conta da(s) dotação(ões) orçamentária(s) do(s) Órgão(s) requisitante(s), a ser(em) informada(s) no Pedido e Autorização (PA).</w:t>
      </w:r>
    </w:p>
    <w:p>
      <w:pPr>
        <w:pStyle w:val="Heading1"/>
        <w:rPr>
          <w:color w:val="111111"/>
        </w:rPr>
      </w:pPr>
      <w:r>
        <w:rPr>
          <w:color w:val="111111"/>
        </w:rPr>
        <w:t>19. DAS DISPOSIÇÕES GERAIS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19.1. </w:t>
      </w:r>
      <w:r>
        <w:rPr>
          <w:rFonts w:eastAsia="Times New Roman" w:cs="Times New Roman" w:ascii="Times New Roman" w:hAnsi="Times New Roman"/>
          <w:color w:val="111111"/>
          <w:sz w:val="24"/>
          <w:szCs w:val="24"/>
        </w:rPr>
        <w:t>Dúvidas referentes ao objeto deste Pregão devem ser sanadas através de pedido de esclarecimento, o qual deve ser apresentado via sistema, nos termos do edital.</w:t>
      </w:r>
    </w:p>
    <w:p>
      <w:pPr>
        <w:pStyle w:val="Normal"/>
        <w:keepLines w:val="false"/>
        <w:widowControl/>
        <w:spacing w:before="200" w:after="0"/>
        <w:jc w:val="both"/>
        <w:rPr>
          <w:color w:val="111111"/>
        </w:rPr>
      </w:pPr>
      <w:r>
        <w:rPr>
          <w:rFonts w:eastAsia="Times New Roman" w:cs="Times New Roman" w:ascii="Times New Roman" w:hAnsi="Times New Roman"/>
          <w:b/>
          <w:color w:val="111111"/>
          <w:sz w:val="24"/>
          <w:szCs w:val="24"/>
        </w:rPr>
        <w:t xml:space="preserve">19.2. </w:t>
      </w:r>
      <w:r>
        <w:rPr>
          <w:rFonts w:eastAsia="Times New Roman" w:cs="Times New Roman" w:ascii="Times New Roman" w:hAnsi="Times New Roman"/>
          <w:color w:val="111111"/>
          <w:sz w:val="24"/>
          <w:szCs w:val="24"/>
        </w:rPr>
        <w:t>Fazem parte deste Termo de Referência:</w:t>
      </w:r>
    </w:p>
    <w:p>
      <w:pPr>
        <w:pStyle w:val="Normal"/>
        <w:keepLines w:val="false"/>
        <w:widowControl/>
        <w:spacing w:before="200" w:after="0"/>
        <w:jc w:val="both"/>
        <w:rPr>
          <w:color w:val="111111"/>
        </w:rPr>
      </w:pPr>
      <w:r>
        <w:rPr>
          <w:rFonts w:eastAsia="Times New Roman" w:cs="Times New Roman" w:ascii="Times New Roman" w:hAnsi="Times New Roman"/>
          <w:color w:val="111111"/>
          <w:sz w:val="24"/>
          <w:szCs w:val="24"/>
        </w:rPr>
        <w:t>Anexo I – Planilha Orçamentária;</w:t>
      </w:r>
    </w:p>
    <w:p>
      <w:pPr>
        <w:pStyle w:val="Normal"/>
        <w:keepLines w:val="false"/>
        <w:widowControl/>
        <w:spacing w:before="200" w:after="0"/>
        <w:jc w:val="both"/>
        <w:rPr>
          <w:color w:val="111111"/>
        </w:rPr>
      </w:pPr>
      <w:r>
        <w:rPr>
          <w:rFonts w:eastAsia="Times New Roman" w:cs="Times New Roman" w:ascii="Times New Roman" w:hAnsi="Times New Roman"/>
          <w:color w:val="111111"/>
          <w:sz w:val="24"/>
          <w:szCs w:val="24"/>
        </w:rPr>
        <w:t>Anexo II - Cronograma físico/financeiro;</w:t>
      </w:r>
    </w:p>
    <w:p>
      <w:pPr>
        <w:pStyle w:val="Normal"/>
        <w:keepLines w:val="false"/>
        <w:widowControl/>
        <w:spacing w:before="200" w:after="0"/>
        <w:jc w:val="both"/>
        <w:rPr>
          <w:color w:val="111111"/>
        </w:rPr>
      </w:pPr>
      <w:r>
        <w:rPr>
          <w:rFonts w:eastAsia="Times New Roman" w:cs="Times New Roman" w:ascii="Times New Roman" w:hAnsi="Times New Roman"/>
          <w:color w:val="111111"/>
          <w:sz w:val="24"/>
          <w:szCs w:val="24"/>
        </w:rPr>
        <w:t>Anexo III - Benefícios e Despesas Indiretas (BDI);</w:t>
      </w:r>
    </w:p>
    <w:p>
      <w:pPr>
        <w:pStyle w:val="Normal"/>
        <w:keepLines w:val="false"/>
        <w:widowControl/>
        <w:spacing w:before="200" w:after="0"/>
        <w:jc w:val="both"/>
        <w:rPr>
          <w:color w:val="111111"/>
        </w:rPr>
      </w:pPr>
      <w:r>
        <w:rPr>
          <w:rFonts w:eastAsia="Times New Roman" w:cs="Times New Roman" w:ascii="Times New Roman" w:hAnsi="Times New Roman"/>
          <w:color w:val="111111"/>
          <w:sz w:val="24"/>
          <w:szCs w:val="24"/>
        </w:rPr>
        <w:t>Anexo IV – Forma e critérios de seleção do fornecedor;</w:t>
      </w:r>
    </w:p>
    <w:p>
      <w:pPr>
        <w:pStyle w:val="Normal"/>
        <w:keepLines w:val="false"/>
        <w:widowControl/>
        <w:spacing w:before="200" w:after="0"/>
        <w:jc w:val="both"/>
        <w:rPr>
          <w:color w:val="111111"/>
        </w:rPr>
      </w:pPr>
      <w:r>
        <w:rPr>
          <w:rFonts w:eastAsia="Times New Roman" w:cs="Times New Roman" w:ascii="Times New Roman" w:hAnsi="Times New Roman"/>
          <w:color w:val="111111"/>
          <w:sz w:val="24"/>
          <w:szCs w:val="24"/>
          <w:highlight w:val="white"/>
        </w:rPr>
        <w:t xml:space="preserve">Anexo V – </w:t>
      </w:r>
      <w:r>
        <w:rPr>
          <w:rFonts w:eastAsia="Times New Roman" w:cs="Times New Roman" w:ascii="Times New Roman" w:hAnsi="Times New Roman"/>
          <w:color w:val="111111"/>
          <w:sz w:val="24"/>
          <w:szCs w:val="24"/>
        </w:rPr>
        <w:t>Declaração de Disponibilidade de Equipamentos e Pessoal;</w:t>
      </w:r>
    </w:p>
    <w:p>
      <w:pPr>
        <w:pStyle w:val="Normal"/>
        <w:keepLines w:val="false"/>
        <w:widowControl/>
        <w:spacing w:before="200" w:after="0"/>
        <w:jc w:val="both"/>
        <w:rPr>
          <w:color w:val="111111"/>
        </w:rPr>
      </w:pPr>
      <w:r>
        <w:rPr>
          <w:rFonts w:eastAsia="Times New Roman" w:cs="Times New Roman" w:ascii="Times New Roman" w:hAnsi="Times New Roman"/>
          <w:color w:val="111111"/>
          <w:sz w:val="24"/>
          <w:szCs w:val="24"/>
          <w:highlight w:val="white"/>
        </w:rPr>
        <w:t xml:space="preserve">Anexo VI – </w:t>
      </w:r>
      <w:r>
        <w:rPr>
          <w:rFonts w:eastAsia="Times New Roman" w:cs="Times New Roman" w:ascii="Times New Roman" w:hAnsi="Times New Roman"/>
          <w:color w:val="111111"/>
          <w:sz w:val="24"/>
          <w:szCs w:val="24"/>
        </w:rPr>
        <w:t>Declaração de Reconhecimento do Local da Obra;</w:t>
      </w:r>
    </w:p>
    <w:p>
      <w:pPr>
        <w:pStyle w:val="Normal"/>
        <w:keepLines w:val="false"/>
        <w:widowControl/>
        <w:spacing w:before="200" w:after="0"/>
        <w:jc w:val="both"/>
        <w:rPr>
          <w:color w:val="111111"/>
        </w:rPr>
      </w:pPr>
      <w:r>
        <w:rPr>
          <w:rFonts w:eastAsia="Times New Roman" w:cs="Times New Roman" w:ascii="Times New Roman" w:hAnsi="Times New Roman"/>
          <w:color w:val="111111"/>
          <w:sz w:val="24"/>
          <w:szCs w:val="24"/>
          <w:highlight w:val="white"/>
        </w:rPr>
        <w:t>Anexo VII –</w:t>
      </w:r>
      <w:r>
        <w:rPr>
          <w:rFonts w:eastAsia="Times New Roman" w:cs="Times New Roman" w:ascii="Times New Roman" w:hAnsi="Times New Roman"/>
          <w:color w:val="111111"/>
          <w:sz w:val="24"/>
          <w:szCs w:val="24"/>
        </w:rPr>
        <w:t>Programas de Prevenção de Segurança e Saúde no Trabalho;</w:t>
      </w:r>
    </w:p>
    <w:p>
      <w:pPr>
        <w:pStyle w:val="Normal"/>
        <w:keepLines w:val="false"/>
        <w:widowControl/>
        <w:spacing w:before="200" w:after="0"/>
        <w:jc w:val="both"/>
        <w:rPr>
          <w:color w:val="111111"/>
        </w:rPr>
      </w:pPr>
      <w:r>
        <w:rPr>
          <w:rFonts w:eastAsia="Times New Roman" w:cs="Times New Roman" w:ascii="Times New Roman" w:hAnsi="Times New Roman"/>
          <w:color w:val="111111"/>
          <w:sz w:val="24"/>
          <w:szCs w:val="24"/>
          <w:highlight w:val="white"/>
        </w:rPr>
        <w:t xml:space="preserve">Anexo VIII – </w:t>
      </w:r>
      <w:r>
        <w:rPr>
          <w:rFonts w:eastAsia="Times New Roman" w:cs="Times New Roman" w:ascii="Times New Roman" w:hAnsi="Times New Roman"/>
          <w:color w:val="111111"/>
          <w:sz w:val="24"/>
          <w:szCs w:val="24"/>
        </w:rPr>
        <w:t>Projetos.</w:t>
      </w:r>
    </w:p>
    <w:p>
      <w:pPr>
        <w:pStyle w:val="Normal"/>
        <w:widowControl/>
        <w:spacing w:before="200" w:after="0"/>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widowControl/>
        <w:spacing w:before="200" w:after="0"/>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widowControl/>
        <w:spacing w:before="200" w:after="0"/>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keepLines w:val="false"/>
        <w:widowControl/>
        <w:rPr>
          <w:color w:val="111111"/>
        </w:rPr>
      </w:pPr>
      <w:r>
        <w:rPr>
          <w:rFonts w:eastAsia="Times New Roman" w:cs="Times New Roman" w:ascii="Times New Roman" w:hAnsi="Times New Roman"/>
          <w:color w:val="111111"/>
          <w:sz w:val="24"/>
          <w:szCs w:val="24"/>
        </w:rPr>
        <w:t>__</w:t>
      </w:r>
      <w:r>
        <w:rPr>
          <w:rFonts w:eastAsia="Times New Roman" w:cs="Times New Roman" w:ascii="Times New Roman" w:hAnsi="Times New Roman"/>
          <w:color w:val="111111"/>
          <w:sz w:val="24"/>
          <w:szCs w:val="24"/>
        </w:rPr>
        <w:t>_____________________</w:t>
      </w:r>
    </w:p>
    <w:p>
      <w:pPr>
        <w:pStyle w:val="Normal"/>
        <w:keepLines w:val="false"/>
        <w:widowControl/>
        <w:rPr>
          <w:color w:val="111111"/>
        </w:rPr>
      </w:pPr>
      <w:r>
        <w:rPr>
          <w:rFonts w:eastAsia="Times New Roman" w:cs="Times New Roman" w:ascii="Times New Roman" w:hAnsi="Times New Roman"/>
          <w:b/>
          <w:color w:val="111111"/>
          <w:sz w:val="24"/>
          <w:szCs w:val="24"/>
        </w:rPr>
        <w:t>Tiago Ortiz de Oliveira</w:t>
      </w:r>
    </w:p>
    <w:p>
      <w:pPr>
        <w:pStyle w:val="Normal"/>
        <w:pBdr/>
        <w:rPr>
          <w:color w:val="111111"/>
        </w:rPr>
      </w:pPr>
      <w:r>
        <w:rPr>
          <w:rFonts w:eastAsia="Times New Roman" w:cs="Times New Roman" w:ascii="Times New Roman" w:hAnsi="Times New Roman"/>
          <w:color w:val="111111"/>
          <w:sz w:val="24"/>
          <w:szCs w:val="24"/>
        </w:rPr>
        <w:t>Matr.: 102830</w:t>
      </w:r>
    </w:p>
    <w:p>
      <w:pPr>
        <w:pStyle w:val="Normal"/>
        <w:pBdr/>
        <w:rPr>
          <w:color w:val="111111"/>
        </w:rPr>
      </w:pPr>
      <w:r>
        <w:rPr>
          <w:rFonts w:eastAsia="Times New Roman" w:cs="Times New Roman" w:ascii="Times New Roman" w:hAnsi="Times New Roman"/>
          <w:color w:val="111111"/>
          <w:sz w:val="24"/>
          <w:szCs w:val="24"/>
        </w:rPr>
        <w:t>Responsável pela elaboração do Termo de Referência</w:t>
      </w:r>
    </w:p>
    <w:p>
      <w:pPr>
        <w:pStyle w:val="Normal"/>
        <w:pBdr/>
        <w:rPr>
          <w:color w:val="111111"/>
        </w:rPr>
      </w:pPr>
      <w:r>
        <w:rPr>
          <w:rFonts w:eastAsia="Times New Roman" w:cs="Times New Roman" w:ascii="Times New Roman" w:hAnsi="Times New Roman"/>
          <w:color w:val="111111"/>
          <w:sz w:val="24"/>
          <w:szCs w:val="24"/>
        </w:rPr>
        <w:t>Secretaria Municipal de Projetos e Captação de Recursos</w:t>
      </w:r>
    </w:p>
    <w:p>
      <w:pPr>
        <w:pStyle w:val="Normal"/>
        <w:pBdr/>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color w:val="111111"/>
        </w:rPr>
      </w:pPr>
      <w:r>
        <w:rPr>
          <w:color w:val="111111"/>
          <w:sz w:val="24"/>
        </w:rPr>
        <w:t>________________________</w:t>
      </w:r>
    </w:p>
    <w:p>
      <w:pPr>
        <w:pStyle w:val="Normal"/>
        <w:pBdr/>
        <w:rPr>
          <w:color w:val="111111"/>
        </w:rPr>
      </w:pPr>
      <w:r>
        <w:rPr>
          <w:rFonts w:cs="Times New Roman" w:ascii="Times New Roman" w:hAnsi="Times New Roman"/>
          <w:b/>
          <w:bCs/>
          <w:color w:val="111111"/>
          <w:sz w:val="24"/>
        </w:rPr>
        <w:t>Alexandre Alberto Rocha</w:t>
      </w:r>
    </w:p>
    <w:p>
      <w:pPr>
        <w:pStyle w:val="Normal"/>
        <w:pBdr/>
        <w:rPr>
          <w:color w:val="111111"/>
        </w:rPr>
      </w:pPr>
      <w:r>
        <w:rPr>
          <w:rFonts w:cs="Times New Roman" w:ascii="Times New Roman" w:hAnsi="Times New Roman"/>
          <w:color w:val="111111"/>
          <w:sz w:val="24"/>
        </w:rPr>
        <w:t>Matr.: 128084</w:t>
      </w:r>
    </w:p>
    <w:p>
      <w:pPr>
        <w:pStyle w:val="Normal"/>
        <w:pBdr/>
        <w:rPr>
          <w:color w:val="111111"/>
        </w:rPr>
      </w:pPr>
      <w:r>
        <w:rPr>
          <w:rFonts w:cs="Times New Roman" w:ascii="Times New Roman" w:hAnsi="Times New Roman"/>
          <w:color w:val="111111"/>
          <w:sz w:val="24"/>
        </w:rPr>
        <w:t>Secretário Municipal de Segurança Pública</w:t>
      </w:r>
    </w:p>
    <w:p>
      <w:pPr>
        <w:pStyle w:val="Normal"/>
        <w:pBdr/>
        <w:rPr>
          <w:rFonts w:ascii="Times New Roman" w:hAnsi="Times New Roman" w:eastAsia="Times New Roman" w:cs="Times New Roman"/>
          <w:color w:val="111111"/>
          <w:sz w:val="28"/>
          <w:szCs w:val="24"/>
        </w:rPr>
      </w:pPr>
      <w:r>
        <w:rPr>
          <w:rFonts w:eastAsia="Times New Roman" w:cs="Times New Roman" w:ascii="Times New Roman" w:hAnsi="Times New Roman"/>
          <w:color w:val="111111"/>
          <w:sz w:val="28"/>
          <w:szCs w:val="24"/>
        </w:rPr>
      </w:r>
    </w:p>
    <w:p>
      <w:pPr>
        <w:pStyle w:val="Normal"/>
        <w:rPr>
          <w:color w:val="111111"/>
        </w:rPr>
      </w:pPr>
      <w:r>
        <w:rPr>
          <w:color w:val="111111"/>
        </w:rPr>
      </w:r>
    </w:p>
    <w:p>
      <w:pPr>
        <w:pStyle w:val="Heading4"/>
        <w:jc w:val="both"/>
        <w:rPr>
          <w:color w:val="111111"/>
        </w:rPr>
      </w:pPr>
      <w:r>
        <w:rPr>
          <w:color w:val="111111"/>
        </w:rPr>
      </w:r>
    </w:p>
    <w:p>
      <w:pPr>
        <w:pStyle w:val="Heading4"/>
        <w:jc w:val="both"/>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Heading4"/>
        <w:rPr>
          <w:color w:val="111111"/>
        </w:rPr>
      </w:pPr>
      <w:r>
        <w:rPr>
          <w:color w:val="111111"/>
        </w:rPr>
      </w:r>
    </w:p>
    <w:p>
      <w:pPr>
        <w:pStyle w:val="Heading4"/>
        <w:rPr>
          <w:color w:val="111111"/>
        </w:rPr>
      </w:pPr>
      <w:r>
        <w:rPr>
          <w:color w:val="111111"/>
        </w:rPr>
        <w:t>ANEXO I</w:t>
      </w:r>
    </w:p>
    <w:p>
      <w:pPr>
        <w:pStyle w:val="Heading4"/>
        <w:rPr>
          <w:color w:val="111111"/>
        </w:rPr>
      </w:pPr>
      <w:r>
        <w:rPr>
          <w:color w:val="111111"/>
        </w:rPr>
        <w:t xml:space="preserve">PLANILHA ORÇAMENTÁRIA </w:t>
      </w:r>
    </w:p>
    <w:p>
      <w:pPr>
        <w:pStyle w:val="Normal"/>
        <w:rPr>
          <w:color w:val="111111"/>
          <w:highlight w:val="cyan"/>
        </w:rPr>
      </w:pPr>
      <w:r>
        <w:rPr>
          <w:color w:val="111111"/>
          <w:highlight w:val="cyan"/>
        </w:rPr>
      </w:r>
    </w:p>
    <w:p>
      <w:pPr>
        <w:pStyle w:val="Normal"/>
        <w:keepLines w:val="false"/>
        <w:widowControl/>
        <w:spacing w:lineRule="auto" w:line="360" w:before="200" w:after="0"/>
        <w:jc w:val="both"/>
        <w:rPr>
          <w:color w:val="111111"/>
        </w:rPr>
      </w:pPr>
      <w:r>
        <w:rPr>
          <w:rFonts w:eastAsia="Times New Roman" w:cs="Times New Roman" w:ascii="Times New Roman" w:hAnsi="Times New Roman"/>
          <w:color w:val="111111"/>
          <w:sz w:val="24"/>
          <w:szCs w:val="24"/>
        </w:rPr>
        <w:t>Acesso através do endereço eletrônico:</w:t>
      </w:r>
    </w:p>
    <w:p>
      <w:pPr>
        <w:pStyle w:val="Normal"/>
        <w:keepLines w:val="false"/>
        <w:widowControl/>
        <w:spacing w:lineRule="auto" w:line="360" w:before="200" w:after="0"/>
        <w:jc w:val="both"/>
        <w:rPr>
          <w:color w:val="111111"/>
        </w:rPr>
      </w:pPr>
      <w:r>
        <w:rPr>
          <w:rFonts w:eastAsia="Times New Roman" w:cs="Times New Roman" w:ascii="Times New Roman" w:hAnsi="Times New Roman"/>
          <w:color w:val="111111"/>
          <w:szCs w:val="24"/>
        </w:rPr>
        <w:t>https://drive.google.com/drive/folders/1gOR88AahJlNBaeLcN_bO0sg5VyI9Ev0k?usp=sharing</w:t>
      </w:r>
    </w:p>
    <w:p>
      <w:pPr>
        <w:pStyle w:val="Normal"/>
        <w:rPr>
          <w:color w:val="111111"/>
        </w:rPr>
      </w:pPr>
      <w:r>
        <w:rPr>
          <w:color w:val="111111"/>
        </w:rPr>
      </w:r>
    </w:p>
    <w:p>
      <w:pPr>
        <w:pStyle w:val="Normal"/>
        <w:rPr>
          <w:color w:val="111111"/>
          <w:highlight w:val="cyan"/>
        </w:rPr>
      </w:pPr>
      <w:r>
        <w:rPr>
          <w:color w:val="111111"/>
          <w:highlight w:val="cyan"/>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Heading4"/>
        <w:rPr>
          <w:color w:val="111111"/>
        </w:rPr>
      </w:pPr>
      <w:r>
        <w:rPr>
          <w:color w:val="111111"/>
        </w:rPr>
      </w:r>
    </w:p>
    <w:p>
      <w:pPr>
        <w:pStyle w:val="Heading4"/>
        <w:rPr>
          <w:color w:val="111111"/>
        </w:rPr>
      </w:pPr>
      <w:r>
        <w:rPr>
          <w:color w:val="111111"/>
        </w:rPr>
      </w:r>
    </w:p>
    <w:p>
      <w:pPr>
        <w:pStyle w:val="Heading4"/>
        <w:rPr>
          <w:color w:val="111111"/>
        </w:rPr>
      </w:pPr>
      <w:r>
        <w:rPr>
          <w:color w:val="111111"/>
        </w:rPr>
        <w:t>ANEXO II</w:t>
      </w:r>
    </w:p>
    <w:p>
      <w:pPr>
        <w:pStyle w:val="Heading4"/>
        <w:rPr>
          <w:color w:val="111111"/>
        </w:rPr>
      </w:pPr>
      <w:r>
        <w:rPr>
          <w:color w:val="111111"/>
        </w:rPr>
        <w:t>CRONOGRAMA FÍSICO/FINANCEIRO</w:t>
      </w:r>
    </w:p>
    <w:p>
      <w:pPr>
        <w:pStyle w:val="Normal"/>
        <w:rPr>
          <w:color w:val="111111"/>
        </w:rPr>
      </w:pPr>
      <w:r>
        <w:rPr>
          <w:color w:val="111111"/>
        </w:rPr>
      </w:r>
    </w:p>
    <w:p>
      <w:pPr>
        <w:pStyle w:val="Normal"/>
        <w:keepLines w:val="false"/>
        <w:widowControl/>
        <w:spacing w:lineRule="auto" w:line="360" w:before="200" w:after="0"/>
        <w:jc w:val="both"/>
        <w:rPr>
          <w:color w:val="111111"/>
        </w:rPr>
      </w:pPr>
      <w:r>
        <w:rPr>
          <w:rFonts w:eastAsia="Times New Roman" w:cs="Times New Roman" w:ascii="Times New Roman" w:hAnsi="Times New Roman"/>
          <w:color w:val="111111"/>
          <w:sz w:val="24"/>
          <w:szCs w:val="24"/>
        </w:rPr>
        <w:t>Acesso através do endereço eletrônico:</w:t>
      </w:r>
    </w:p>
    <w:p>
      <w:pPr>
        <w:pStyle w:val="Normal"/>
        <w:keepLines w:val="false"/>
        <w:widowControl/>
        <w:spacing w:lineRule="auto" w:line="360" w:before="200" w:after="0"/>
        <w:jc w:val="both"/>
        <w:rPr>
          <w:color w:val="111111"/>
        </w:rPr>
      </w:pPr>
      <w:r>
        <w:rPr>
          <w:rFonts w:eastAsia="Times New Roman" w:cs="Times New Roman" w:ascii="Times New Roman" w:hAnsi="Times New Roman"/>
          <w:color w:val="111111"/>
          <w:szCs w:val="24"/>
        </w:rPr>
        <w:t>https://drive.google.com/drive/folders/1gOR88AahJlNBaeLcN_bO0sg5VyI9Ev0k?usp=sharing</w:t>
      </w:r>
    </w:p>
    <w:p>
      <w:pPr>
        <w:pStyle w:val="Normal"/>
        <w:keepLines w:val="false"/>
        <w:widowControl/>
        <w:spacing w:before="200" w:after="288"/>
        <w:jc w:val="both"/>
        <w:rPr>
          <w:rFonts w:ascii="Times New Roman" w:hAnsi="Times New Roman" w:eastAsia="Times New Roman" w:cs="Times New Roman"/>
          <w:b/>
          <w:color w:val="111111"/>
          <w:sz w:val="24"/>
          <w:szCs w:val="24"/>
        </w:rPr>
      </w:pPr>
      <w:r>
        <w:rPr>
          <w:rFonts w:eastAsia="Times New Roman" w:cs="Times New Roman" w:ascii="Times New Roman" w:hAnsi="Times New Roman"/>
          <w:b/>
          <w:color w:val="111111"/>
          <w:sz w:val="24"/>
          <w:szCs w:val="24"/>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Normal"/>
        <w:rPr>
          <w:color w:val="111111"/>
        </w:rPr>
      </w:pPr>
      <w:r>
        <w:rPr>
          <w:color w:val="111111"/>
        </w:rPr>
      </w:r>
    </w:p>
    <w:p>
      <w:pPr>
        <w:pStyle w:val="Heading4"/>
        <w:rPr>
          <w:color w:val="111111"/>
        </w:rPr>
      </w:pPr>
      <w:r>
        <w:rPr>
          <w:color w:val="111111"/>
        </w:rPr>
      </w:r>
    </w:p>
    <w:p>
      <w:pPr>
        <w:pStyle w:val="Heading4"/>
        <w:rPr>
          <w:color w:val="111111"/>
        </w:rPr>
      </w:pPr>
      <w:r>
        <w:rPr>
          <w:color w:val="111111"/>
        </w:rPr>
      </w:r>
    </w:p>
    <w:p>
      <w:pPr>
        <w:pStyle w:val="Heading4"/>
        <w:rPr>
          <w:color w:val="111111"/>
        </w:rPr>
      </w:pPr>
      <w:r>
        <w:rPr>
          <w:color w:val="111111"/>
        </w:rPr>
      </w:r>
    </w:p>
    <w:p>
      <w:pPr>
        <w:pStyle w:val="Heading4"/>
        <w:rPr>
          <w:color w:val="111111"/>
        </w:rPr>
      </w:pPr>
      <w:r>
        <w:rPr>
          <w:color w:val="111111"/>
        </w:rPr>
        <w:t>ANEXO III</w:t>
      </w:r>
    </w:p>
    <w:p>
      <w:pPr>
        <w:pStyle w:val="Heading4"/>
        <w:rPr>
          <w:color w:val="111111"/>
        </w:rPr>
      </w:pPr>
      <w:r>
        <w:rPr>
          <w:color w:val="111111"/>
        </w:rPr>
        <w:t>PLANILHA DE DETALHAMENTO DO BDI</w:t>
      </w:r>
    </w:p>
    <w:p>
      <w:pPr>
        <w:pStyle w:val="Normal"/>
        <w:keepLines w:val="false"/>
        <w:widowControl/>
        <w:spacing w:before="200" w:after="288"/>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keepLines w:val="false"/>
        <w:widowControl/>
        <w:spacing w:lineRule="auto" w:line="360" w:before="200" w:after="0"/>
        <w:jc w:val="both"/>
        <w:rPr>
          <w:color w:val="111111"/>
        </w:rPr>
      </w:pPr>
      <w:r>
        <w:rPr>
          <w:rFonts w:eastAsia="Times New Roman" w:cs="Times New Roman" w:ascii="Times New Roman" w:hAnsi="Times New Roman"/>
          <w:color w:val="111111"/>
          <w:sz w:val="24"/>
          <w:szCs w:val="24"/>
        </w:rPr>
        <w:t>Acesso através do endereço eletrônico:</w:t>
      </w:r>
    </w:p>
    <w:p>
      <w:pPr>
        <w:pStyle w:val="Normal"/>
        <w:keepLines w:val="false"/>
        <w:widowControl/>
        <w:spacing w:lineRule="auto" w:line="360" w:before="200" w:after="0"/>
        <w:jc w:val="both"/>
        <w:rPr>
          <w:color w:val="111111"/>
        </w:rPr>
      </w:pPr>
      <w:r>
        <w:rPr>
          <w:rFonts w:eastAsia="Times New Roman" w:cs="Times New Roman" w:ascii="Times New Roman" w:hAnsi="Times New Roman"/>
          <w:color w:val="111111"/>
          <w:szCs w:val="24"/>
        </w:rPr>
        <w:t>https://drive.google.com/drive/folders/1gOR88AahJlNBaeLcN_bO0sg5VyI9Ev0k?usp=sharing</w:t>
      </w:r>
    </w:p>
    <w:p>
      <w:pPr>
        <w:pStyle w:val="Normal"/>
        <w:keepLines w:val="false"/>
        <w:widowControl/>
        <w:spacing w:before="200" w:after="288"/>
        <w:jc w:val="both"/>
        <w:rPr>
          <w:rFonts w:ascii="Times New Roman" w:hAnsi="Times New Roman" w:eastAsia="Times New Roman" w:cs="Times New Roman"/>
          <w:b/>
          <w:color w:val="111111"/>
          <w:sz w:val="24"/>
          <w:szCs w:val="24"/>
        </w:rPr>
      </w:pPr>
      <w:r>
        <w:rPr>
          <w:rFonts w:eastAsia="Times New Roman" w:cs="Times New Roman" w:ascii="Times New Roman" w:hAnsi="Times New Roman"/>
          <w:b/>
          <w:color w:val="111111"/>
          <w:sz w:val="24"/>
          <w:szCs w:val="24"/>
        </w:rPr>
      </w:r>
      <w:r>
        <w:br w:type="page"/>
      </w:r>
    </w:p>
    <w:p>
      <w:pPr>
        <w:pStyle w:val="Heading4"/>
        <w:spacing w:before="0" w:after="120"/>
        <w:rPr>
          <w:color w:val="111111"/>
        </w:rPr>
      </w:pPr>
      <w:r>
        <w:rPr>
          <w:color w:val="111111"/>
        </w:rPr>
        <w:t>ANEXO IV</w:t>
      </w:r>
    </w:p>
    <w:p>
      <w:pPr>
        <w:pStyle w:val="Heading4"/>
        <w:rPr>
          <w:color w:val="111111"/>
        </w:rPr>
      </w:pPr>
      <w:r>
        <w:rPr>
          <w:color w:val="111111"/>
        </w:rPr>
        <w:t>FORMA E CRITÉRIOS DE SELEÇÃO DO FORNECEDOR</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 </w:t>
      </w:r>
      <w:r>
        <w:rPr>
          <w:rFonts w:eastAsia="Times New Roman" w:cs="Times New Roman" w:ascii="Times New Roman" w:hAnsi="Times New Roman"/>
          <w:color w:val="111111"/>
          <w:sz w:val="24"/>
          <w:szCs w:val="24"/>
        </w:rPr>
        <w:t xml:space="preserve">O fornecedor será selecionado por meio da realização de procedimento de licitação, na modalidade </w:t>
      </w:r>
      <w:r>
        <w:rPr>
          <w:rFonts w:eastAsia="Times New Roman" w:cs="Times New Roman" w:ascii="Times New Roman" w:hAnsi="Times New Roman"/>
          <w:b/>
          <w:color w:val="111111"/>
          <w:sz w:val="24"/>
          <w:szCs w:val="24"/>
        </w:rPr>
        <w:t>PREGÃO</w:t>
      </w:r>
      <w:r>
        <w:rPr>
          <w:rFonts w:eastAsia="Times New Roman" w:cs="Times New Roman" w:ascii="Times New Roman" w:hAnsi="Times New Roman"/>
          <w:color w:val="111111"/>
          <w:sz w:val="24"/>
          <w:szCs w:val="24"/>
        </w:rPr>
        <w:t xml:space="preserve">, sob a forma </w:t>
      </w:r>
      <w:r>
        <w:rPr>
          <w:rFonts w:eastAsia="Times New Roman" w:cs="Times New Roman" w:ascii="Times New Roman" w:hAnsi="Times New Roman"/>
          <w:b/>
          <w:color w:val="111111"/>
          <w:sz w:val="24"/>
          <w:szCs w:val="24"/>
        </w:rPr>
        <w:t>ELETRÔNICA</w:t>
      </w:r>
      <w:r>
        <w:rPr>
          <w:rFonts w:eastAsia="Times New Roman" w:cs="Times New Roman" w:ascii="Times New Roman" w:hAnsi="Times New Roman"/>
          <w:color w:val="111111"/>
          <w:sz w:val="24"/>
          <w:szCs w:val="24"/>
        </w:rPr>
        <w:t xml:space="preserve">, com adoção do critério de julgamento pelo </w:t>
      </w:r>
      <w:r>
        <w:rPr>
          <w:rFonts w:eastAsia="Times New Roman" w:cs="Times New Roman" w:ascii="Times New Roman" w:hAnsi="Times New Roman"/>
          <w:b/>
          <w:color w:val="111111"/>
          <w:sz w:val="24"/>
          <w:szCs w:val="24"/>
        </w:rPr>
        <w:t>MAIOR DESCONTO.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1.1.1. Da divisão da licitação: </w:t>
      </w:r>
      <w:r>
        <w:rPr>
          <w:rFonts w:eastAsia="Times New Roman" w:cs="Times New Roman" w:ascii="Times New Roman" w:hAnsi="Times New Roman"/>
          <w:color w:val="111111"/>
          <w:sz w:val="24"/>
          <w:szCs w:val="24"/>
        </w:rPr>
        <w:t>Adjudicação por</w:t>
      </w:r>
      <w:r>
        <w:rPr>
          <w:rFonts w:eastAsia="Times New Roman" w:cs="Times New Roman" w:ascii="Times New Roman" w:hAnsi="Times New Roman"/>
          <w:b/>
          <w:color w:val="111111"/>
          <w:sz w:val="24"/>
          <w:szCs w:val="24"/>
        </w:rPr>
        <w:t xml:space="preserve"> lote.</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1.1.2. Modo de Disputa: </w:t>
      </w:r>
      <w:r>
        <w:rPr>
          <w:rFonts w:eastAsia="Times New Roman" w:cs="Times New Roman" w:ascii="Times New Roman" w:hAnsi="Times New Roman"/>
          <w:color w:val="111111"/>
          <w:sz w:val="24"/>
          <w:szCs w:val="24"/>
        </w:rPr>
        <w:t>Aberto.</w:t>
      </w:r>
    </w:p>
    <w:p>
      <w:pPr>
        <w:pStyle w:val="Heading1"/>
        <w:rPr>
          <w:color w:val="111111"/>
        </w:rPr>
      </w:pPr>
      <w:r>
        <w:rPr>
          <w:color w:val="111111"/>
        </w:rPr>
        <w:t>2. DA HABILITAÇÃO</w:t>
      </w:r>
    </w:p>
    <w:p>
      <w:pPr>
        <w:pStyle w:val="Heading2"/>
        <w:rPr>
          <w:color w:val="111111"/>
        </w:rPr>
      </w:pPr>
      <w:r>
        <w:rPr>
          <w:color w:val="111111"/>
        </w:rPr>
        <w:t>2.1. Qualificação Técnica</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highlight w:val="white"/>
        </w:rPr>
        <w:t>2.1.1.</w:t>
      </w:r>
      <w:r>
        <w:rPr>
          <w:rFonts w:eastAsia="Times New Roman" w:cs="Times New Roman" w:ascii="Times New Roman" w:hAnsi="Times New Roman"/>
          <w:color w:val="111111"/>
          <w:sz w:val="24"/>
          <w:szCs w:val="24"/>
          <w:highlight w:val="white"/>
        </w:rPr>
        <w:t xml:space="preserve"> Apresentação de profissional, devidamente registrado no conselho profissional competente, quando for o caso, detentor de atestado de responsabilidade técnica por execução de obra ou serviço de características semelhantes, para fins de contratação;</w:t>
      </w:r>
    </w:p>
    <w:p>
      <w:pPr>
        <w:pStyle w:val="Normal"/>
        <w:keepLines w:val="false"/>
        <w:widowControl/>
        <w:spacing w:before="200" w:after="288"/>
        <w:jc w:val="both"/>
        <w:rPr/>
      </w:pPr>
      <w:r>
        <w:rPr>
          <w:rFonts w:eastAsia="Times New Roman" w:cs="Times New Roman" w:ascii="Times New Roman" w:hAnsi="Times New Roman"/>
          <w:b/>
          <w:color w:val="111111"/>
          <w:sz w:val="24"/>
          <w:szCs w:val="24"/>
          <w:highlight w:val="white"/>
        </w:rPr>
        <w:t>2.1.2.</w:t>
      </w:r>
      <w:r>
        <w:rPr>
          <w:rFonts w:eastAsia="Times New Roman" w:cs="Times New Roman" w:ascii="Times New Roman" w:hAnsi="Times New Roman"/>
          <w:color w:val="111111"/>
          <w:sz w:val="24"/>
          <w:szCs w:val="24"/>
          <w:highlight w:val="white"/>
        </w:rPr>
        <w:t xml:space="preserve"> 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w:t>
      </w:r>
      <w:r>
        <w:fldChar w:fldCharType="begin"/>
      </w:r>
      <w:r>
        <w:rPr>
          <w:rStyle w:val="Style3"/>
          <w:rFonts w:eastAsia="Times New Roman" w:cs="Times New Roman" w:ascii="Times New Roman" w:hAnsi="Times New Roman"/>
          <w:color w:val="111111"/>
          <w:sz w:val="24"/>
          <w:szCs w:val="24"/>
          <w:highlight w:val="white"/>
          <w:u w:val="single"/>
        </w:rPr>
        <w:instrText xml:space="preserve"> HYPERLINK "https://www.planalto.gov.br/ccivil_03/_ato2019-2022/2021/lei/l14133.htm" \l "art88%C2%A73"</w:instrText>
      </w:r>
      <w:r>
        <w:rPr>
          <w:rStyle w:val="Style3"/>
          <w:rFonts w:eastAsia="Times New Roman" w:cs="Times New Roman" w:ascii="Times New Roman" w:hAnsi="Times New Roman"/>
          <w:color w:val="111111"/>
          <w:sz w:val="24"/>
          <w:szCs w:val="24"/>
          <w:highlight w:val="white"/>
          <w:u w:val="single"/>
        </w:rPr>
        <w:fldChar w:fldCharType="separate"/>
      </w:r>
      <w:r>
        <w:rPr>
          <w:rStyle w:val="Style3"/>
          <w:rFonts w:eastAsia="Times New Roman" w:cs="Times New Roman" w:ascii="Times New Roman" w:hAnsi="Times New Roman"/>
          <w:color w:val="111111"/>
          <w:sz w:val="24"/>
          <w:szCs w:val="24"/>
          <w:highlight w:val="white"/>
          <w:u w:val="single"/>
        </w:rPr>
        <w:t>§ 3º do art. 88 da Lei n° 14.133 /2021;</w:t>
      </w:r>
      <w:r>
        <w:rPr>
          <w:rStyle w:val="Style3"/>
          <w:rFonts w:eastAsia="Times New Roman" w:cs="Times New Roman" w:ascii="Times New Roman" w:hAnsi="Times New Roman"/>
          <w:color w:val="111111"/>
          <w:sz w:val="24"/>
          <w:szCs w:val="24"/>
          <w:highlight w:val="white"/>
          <w:u w:val="single"/>
        </w:rPr>
        <w:fldChar w:fldCharType="end"/>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highlight w:val="white"/>
        </w:rPr>
        <w:t>2.1.3.</w:t>
      </w:r>
      <w:r>
        <w:rPr>
          <w:rFonts w:eastAsia="Times New Roman" w:cs="Times New Roman" w:ascii="Times New Roman" w:hAnsi="Times New Roman"/>
          <w:color w:val="111111"/>
          <w:sz w:val="24"/>
          <w:szCs w:val="24"/>
          <w:highlight w:val="white"/>
        </w:rPr>
        <w:t xml:space="preserve"> Indicação do pessoal técnico, das instalações e do aparelhamento adequados e disponíveis para a realização do objeto da licitação, bem como da qualificação de cada membro da equipe técnica que se responsabilizará pelos trabalhos;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highlight w:val="white"/>
        </w:rPr>
        <w:t xml:space="preserve">2.1.4. </w:t>
      </w:r>
      <w:r>
        <w:rPr>
          <w:rFonts w:eastAsia="Times New Roman" w:cs="Times New Roman" w:ascii="Times New Roman" w:hAnsi="Times New Roman"/>
          <w:color w:val="111111"/>
          <w:sz w:val="24"/>
          <w:szCs w:val="24"/>
          <w:highlight w:val="white"/>
        </w:rPr>
        <w:t>Prova do atendimento de requisitos previstos em lei especial, quando for o caso;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highlight w:val="white"/>
        </w:rPr>
        <w:t xml:space="preserve">2.1.5. </w:t>
      </w:r>
      <w:r>
        <w:rPr>
          <w:rFonts w:eastAsia="Times New Roman" w:cs="Times New Roman" w:ascii="Times New Roman" w:hAnsi="Times New Roman"/>
          <w:color w:val="111111"/>
          <w:sz w:val="24"/>
          <w:szCs w:val="24"/>
          <w:highlight w:val="white"/>
        </w:rPr>
        <w:t>Registro ou inscrição na entidade profissional competente, quando for o caso;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highlight w:val="white"/>
        </w:rPr>
        <w:t xml:space="preserve">2.1.6. </w:t>
      </w:r>
      <w:r>
        <w:rPr>
          <w:rFonts w:eastAsia="Times New Roman" w:cs="Times New Roman" w:ascii="Times New Roman" w:hAnsi="Times New Roman"/>
          <w:color w:val="111111"/>
          <w:sz w:val="24"/>
          <w:szCs w:val="24"/>
          <w:highlight w:val="white"/>
        </w:rPr>
        <w:t>Declaração de que o licitante tomou conhecimento de todas as informações e das condições locais para o cumprimento das obrigações objeto da licitação.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2.1.7</w:t>
      </w:r>
      <w:r>
        <w:rPr>
          <w:rFonts w:eastAsia="Times New Roman" w:cs="Times New Roman" w:ascii="Times New Roman" w:hAnsi="Times New Roman"/>
          <w:color w:val="111111"/>
          <w:sz w:val="24"/>
          <w:szCs w:val="24"/>
        </w:rPr>
        <w:t xml:space="preserve"> Declaração formal, conforme modelo anexo, de disponibilidade dos equipamentos adequados à realização do objeto, bem como do pessoal técnico adequado e de indicação do(s) Responsável(eis) Técnico(s) pela execução do objeto da licitação, sendo este (s) no mínimo, 01 Engenheiro Civil ou Arquiteto devidamente registrado(s) no CREA/CAU, assinada por representante legal ou por procurador / credenciado, munido de procuração hábil, nos termos da Lei, ou de carta de credenciamento, nos termos do modelo anexo.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2.1.8.</w:t>
      </w:r>
      <w:r>
        <w:rPr>
          <w:rFonts w:eastAsia="Times New Roman" w:cs="Times New Roman" w:ascii="Times New Roman" w:hAnsi="Times New Roman"/>
          <w:color w:val="111111"/>
          <w:sz w:val="24"/>
          <w:szCs w:val="24"/>
        </w:rPr>
        <w:t>Prova de que o responsável técnico indicado pertence ao quadro da licitante na data da abertura da licitação, deverá ser feita mediante a apresentação de carteira profissional (CTPS) ou ficha de registro de empregados (FRE), no caso de vínculo empregatício, de ato constitutivo, contrato social ou estatuto, devidamente registrado no órgão competente, no caso de vínculo societário, admissível Contrato de Prestação de Serviço.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2.1.9.</w:t>
      </w:r>
      <w:r>
        <w:rPr>
          <w:rFonts w:eastAsia="Times New Roman" w:cs="Times New Roman" w:ascii="Times New Roman" w:hAnsi="Times New Roman"/>
          <w:color w:val="111111"/>
          <w:sz w:val="24"/>
          <w:szCs w:val="24"/>
        </w:rPr>
        <w:t xml:space="preserve"> O profissional indicado pela licitante para fins de comprovação da capacitação técnica profissional, deverá participar do serviço objeto da licitação, admitindo-se a substituição por profissionais de experiência equivalente ou superior, desde que aprovada pelo contratante.</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2.1.10</w:t>
      </w:r>
      <w:r>
        <w:rPr>
          <w:rFonts w:eastAsia="Times New Roman" w:cs="Times New Roman" w:ascii="Times New Roman" w:hAnsi="Times New Roman"/>
          <w:color w:val="111111"/>
          <w:sz w:val="24"/>
          <w:szCs w:val="24"/>
        </w:rPr>
        <w:t>. Prova de Registro da Licitante e do (s) Responsável (eis) técnico (s) indicado (s), junto ao Conselho Regional de Engenharia e Agronomia – CREA ou Conselho de Arquitetura e Urbanismo - CAU, através de certidão(ões), dentro de seu(s) prazo(s) de validade.</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2.1.11</w:t>
      </w:r>
      <w:r>
        <w:rPr>
          <w:rFonts w:eastAsia="Times New Roman" w:cs="Times New Roman" w:ascii="Times New Roman" w:hAnsi="Times New Roman"/>
          <w:color w:val="111111"/>
          <w:sz w:val="24"/>
          <w:szCs w:val="24"/>
        </w:rPr>
        <w:t>. Comprovação de Capacidade Técnica Profissional, através da apresentação de Atestado(s) de Capacidade Técnica, fornecido por pessoa jurídica de direito público ou privado, devidamente registrado pelo CREA/CAU e acompanhado(s) da(s) CAT(s), emitida pelo CREA/CAU, pelo qual o profissional (is) indicado (s) comprove (em) ter executado obra compatível em característica com o objeto do Edital, devendo apresentar, obrigatoriamente, no mínimo, as seguintes características similares ao objeto:</w:t>
      </w:r>
    </w:p>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a) Referir-se a execução de subestações de energia com proteção e medição em baixa tensão.</w:t>
      </w:r>
    </w:p>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O(s) atestado(s) apresentado(s) deverá(ão) conter as seguintes informações: nome do contratado e do contratante, identificação do tipo ou natureza do serviço, endereço completo do serviço, data de início e conclusão do serviço, nome e título dos responsáveis técnicos, n.º do registro no CREA/CAU dos responsáveis técnicos, descrição dos serviços executados e suas quantidades, número da ART/RRT e número do contrato ou documento equivalente.</w:t>
      </w:r>
    </w:p>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Não será aceito atestado de obra inacabada, executada parcialmente, ou em consórcio com outras empresas.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2.1.12.</w:t>
      </w:r>
      <w:r>
        <w:rPr>
          <w:rFonts w:eastAsia="Times New Roman" w:cs="Times New Roman" w:ascii="Times New Roman" w:hAnsi="Times New Roman"/>
          <w:color w:val="111111"/>
          <w:sz w:val="24"/>
          <w:szCs w:val="24"/>
        </w:rPr>
        <w:t xml:space="preserve"> Declaração de reconhecimento do local da obra, assinada pelo responsável técnico indicado, nos termos do modelo anexo.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2.1.13</w:t>
      </w:r>
      <w:r>
        <w:rPr>
          <w:rFonts w:eastAsia="Times New Roman" w:cs="Times New Roman" w:ascii="Times New Roman" w:hAnsi="Times New Roman"/>
          <w:color w:val="111111"/>
          <w:sz w:val="24"/>
          <w:szCs w:val="24"/>
        </w:rPr>
        <w:t>. A realização da vistoria não se consubstancia em condição para a participação na licitação, ficando, contudo, as licitantes cientes que após a apresentação das propostas não serão admitidas, em hipótese alguma, alegações posteriores no sentido da inviabilidade de cumprir com as obrigações, face ao desconhecimento dos serviços e de dificuldades técnicas não previstas.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2.1.14</w:t>
      </w:r>
      <w:r>
        <w:rPr>
          <w:rFonts w:eastAsia="Times New Roman" w:cs="Times New Roman" w:ascii="Times New Roman" w:hAnsi="Times New Roman"/>
          <w:color w:val="111111"/>
          <w:sz w:val="24"/>
          <w:szCs w:val="24"/>
        </w:rPr>
        <w:t>. Declaração Formal, conforme modelo anexo, de que a licitante se compromete a elaborar os Programas de Prevenção de Segurança e Saúde no Trabalho, conforme anexo e assinados pelo representante legal da empresa ou por procurador / credenciado, munido de procuração hábil nos termos da Lei, ou de carta de credenciamento, nos termos do modelo anexo.</w:t>
      </w:r>
    </w:p>
    <w:p>
      <w:pPr>
        <w:pStyle w:val="Heading1"/>
        <w:rPr>
          <w:color w:val="111111"/>
        </w:rPr>
      </w:pPr>
      <w:r>
        <w:rPr>
          <w:color w:val="111111"/>
        </w:rPr>
        <w:t>3. DOCUMENTAÇÃO NECESSÁRIA PARA ASSINATURA DO CONTRATO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3.1. </w:t>
      </w:r>
      <w:r>
        <w:rPr>
          <w:rFonts w:eastAsia="Times New Roman" w:cs="Times New Roman" w:ascii="Times New Roman" w:hAnsi="Times New Roman"/>
          <w:color w:val="111111"/>
          <w:sz w:val="24"/>
          <w:szCs w:val="24"/>
        </w:rPr>
        <w:t xml:space="preserve">O fornecedor registrado terá o prazo de até </w:t>
      </w:r>
      <w:r>
        <w:rPr>
          <w:rFonts w:eastAsia="Times New Roman" w:cs="Times New Roman" w:ascii="Times New Roman" w:hAnsi="Times New Roman"/>
          <w:b/>
          <w:color w:val="111111"/>
          <w:sz w:val="24"/>
          <w:szCs w:val="24"/>
        </w:rPr>
        <w:t>5 (cinco) dias consecutivos</w:t>
      </w:r>
      <w:r>
        <w:rPr>
          <w:rFonts w:eastAsia="Times New Roman" w:cs="Times New Roman" w:ascii="Times New Roman" w:hAnsi="Times New Roman"/>
          <w:color w:val="111111"/>
          <w:sz w:val="24"/>
          <w:szCs w:val="24"/>
        </w:rPr>
        <w:t xml:space="preserve"> para assinatura do Termo de Contrato, contados da data de convocação feita, por escrito, pelo Município.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3.2. </w:t>
      </w:r>
      <w:r>
        <w:rPr>
          <w:rFonts w:eastAsia="Times New Roman" w:cs="Times New Roman" w:ascii="Times New Roman" w:hAnsi="Times New Roman"/>
          <w:color w:val="111111"/>
          <w:sz w:val="24"/>
          <w:szCs w:val="24"/>
        </w:rPr>
        <w:t xml:space="preserve">O(s) referido(s) prazo(s) poderá(ão) ser prorrogado(s) a critério do </w:t>
      </w:r>
      <w:r>
        <w:rPr>
          <w:rFonts w:eastAsia="Times New Roman" w:cs="Times New Roman" w:ascii="Times New Roman" w:hAnsi="Times New Roman"/>
          <w:color w:val="111111"/>
          <w:sz w:val="24"/>
          <w:szCs w:val="24"/>
          <w:highlight w:val="white"/>
        </w:rPr>
        <w:t>Município</w:t>
      </w:r>
      <w:r>
        <w:rPr>
          <w:rFonts w:eastAsia="Times New Roman" w:cs="Times New Roman" w:ascii="Times New Roman" w:hAnsi="Times New Roman"/>
          <w:color w:val="111111"/>
          <w:sz w:val="24"/>
          <w:szCs w:val="24"/>
        </w:rPr>
        <w:t>, mediante apresentação de justificativa pelo fornecedor.</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highlight w:val="white"/>
        </w:rPr>
        <w:t>3.3.</w:t>
      </w:r>
      <w:r>
        <w:rPr>
          <w:rFonts w:eastAsia="Times New Roman" w:cs="Times New Roman" w:ascii="Times New Roman" w:hAnsi="Times New Roman"/>
          <w:color w:val="111111"/>
          <w:sz w:val="24"/>
          <w:szCs w:val="24"/>
          <w:highlight w:val="white"/>
        </w:rPr>
        <w:t xml:space="preserve"> A assinatura do Contrato poderá ser por meio do Sistema Eletrônico de Informações (SEI), desde que o fornecedor tenha um Certificado emitido por uma Autoridade Certificadora (AC), credenciado na Infraestrutura de Chaves Públicas Brasileira (ICP - Brasil), na forma da legislação vigente. </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highlight w:val="white"/>
        </w:rPr>
        <w:t xml:space="preserve">3.3.1. </w:t>
      </w:r>
      <w:r>
        <w:rPr>
          <w:rFonts w:eastAsia="Times New Roman" w:cs="Times New Roman" w:ascii="Times New Roman" w:hAnsi="Times New Roman"/>
          <w:color w:val="111111"/>
          <w:sz w:val="24"/>
          <w:szCs w:val="24"/>
          <w:highlight w:val="white"/>
        </w:rPr>
        <w:t>O cadastro poderá ser realizado via sítio eletrônico do município, na aba Serviços &gt; Carta de Serviços &gt; SEI! Usuário Externo.</w:t>
      </w:r>
      <w:r>
        <w:br w:type="page"/>
      </w:r>
    </w:p>
    <w:p>
      <w:pPr>
        <w:pStyle w:val="Heading4"/>
        <w:spacing w:before="0" w:after="120"/>
        <w:rPr>
          <w:color w:val="111111"/>
        </w:rPr>
      </w:pPr>
      <w:r>
        <w:rPr>
          <w:color w:val="111111"/>
        </w:rPr>
        <w:t>ANEXO V</w:t>
      </w:r>
    </w:p>
    <w:p>
      <w:pPr>
        <w:pStyle w:val="Heading4"/>
        <w:rPr>
          <w:color w:val="111111"/>
        </w:rPr>
      </w:pPr>
      <w:r>
        <w:rPr>
          <w:color w:val="111111"/>
        </w:rPr>
        <w:t>DECLARAÇÃO DE DISPONIBILIDADE DE EQUIPAMENTOS E PESSOAL TÉCNICO ADEQUADO PARA EXECUÇÃO DO OBJETO LICITADO E INDICAÇÃO DO (S) RESPONSÁVEL (EIS) TÉCNICO(S)</w:t>
      </w:r>
    </w:p>
    <w:p>
      <w:pPr>
        <w:pStyle w:val="Normal"/>
        <w:keepLines w:val="false"/>
        <w:widowControl/>
        <w:spacing w:before="200" w:after="288"/>
        <w:ind w:start="20"/>
        <w:jc w:val="both"/>
        <w:rPr>
          <w:color w:val="111111"/>
        </w:rPr>
      </w:pPr>
      <w:r>
        <w:rPr>
          <w:rFonts w:eastAsia="Times New Roman" w:cs="Times New Roman" w:ascii="Times New Roman" w:hAnsi="Times New Roman"/>
          <w:b/>
          <w:color w:val="111111"/>
          <w:sz w:val="24"/>
          <w:szCs w:val="24"/>
        </w:rPr>
        <w:t xml:space="preserve"> </w:t>
      </w:r>
    </w:p>
    <w:p>
      <w:pPr>
        <w:pStyle w:val="Normal"/>
        <w:keepLines w:val="false"/>
        <w:widowControl/>
        <w:spacing w:before="200" w:after="288"/>
        <w:ind w:start="20"/>
        <w:jc w:val="both"/>
        <w:rPr>
          <w:color w:val="111111"/>
        </w:rPr>
      </w:pPr>
      <w:r>
        <w:rPr>
          <w:rFonts w:eastAsia="Times New Roman" w:cs="Times New Roman" w:ascii="Times New Roman" w:hAnsi="Times New Roman"/>
          <w:color w:val="111111"/>
          <w:sz w:val="24"/>
          <w:szCs w:val="24"/>
        </w:rPr>
        <w:t>Declaramos, sob as penas da Lei, que a licitante) _______________________________</w:t>
      </w:r>
    </w:p>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 xml:space="preserve">___________________________________, CNPJ nº ___________________________, dispõe das </w:t>
      </w:r>
      <w:r>
        <w:rPr>
          <w:rFonts w:eastAsia="Times New Roman" w:cs="Times New Roman" w:ascii="Times New Roman" w:hAnsi="Times New Roman"/>
          <w:b/>
          <w:color w:val="111111"/>
          <w:sz w:val="24"/>
          <w:szCs w:val="24"/>
        </w:rPr>
        <w:t>instalações</w:t>
      </w:r>
      <w:r>
        <w:rPr>
          <w:rFonts w:eastAsia="Times New Roman" w:cs="Times New Roman" w:ascii="Times New Roman" w:hAnsi="Times New Roman"/>
          <w:color w:val="111111"/>
          <w:sz w:val="24"/>
          <w:szCs w:val="24"/>
        </w:rPr>
        <w:t xml:space="preserve">, dos </w:t>
      </w:r>
      <w:r>
        <w:rPr>
          <w:rFonts w:eastAsia="Times New Roman" w:cs="Times New Roman" w:ascii="Times New Roman" w:hAnsi="Times New Roman"/>
          <w:b/>
          <w:color w:val="111111"/>
          <w:sz w:val="24"/>
          <w:szCs w:val="24"/>
        </w:rPr>
        <w:t>equipamentos</w:t>
      </w:r>
      <w:r>
        <w:rPr>
          <w:rFonts w:eastAsia="Times New Roman" w:cs="Times New Roman" w:ascii="Times New Roman" w:hAnsi="Times New Roman"/>
          <w:color w:val="111111"/>
          <w:sz w:val="24"/>
          <w:szCs w:val="24"/>
        </w:rPr>
        <w:t xml:space="preserve"> e </w:t>
      </w:r>
      <w:r>
        <w:rPr>
          <w:rFonts w:eastAsia="Times New Roman" w:cs="Times New Roman" w:ascii="Times New Roman" w:hAnsi="Times New Roman"/>
          <w:b/>
          <w:color w:val="111111"/>
          <w:sz w:val="24"/>
          <w:szCs w:val="24"/>
        </w:rPr>
        <w:t>pessoal técnico</w:t>
      </w:r>
      <w:r>
        <w:rPr>
          <w:rFonts w:eastAsia="Times New Roman" w:cs="Times New Roman" w:ascii="Times New Roman" w:hAnsi="Times New Roman"/>
          <w:color w:val="111111"/>
          <w:sz w:val="24"/>
          <w:szCs w:val="24"/>
        </w:rPr>
        <w:t xml:space="preserve"> adequados para a execução do objeto da licitação.</w:t>
      </w:r>
    </w:p>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Declaramos, ainda, que será o(a) Responsável Técnico pela execução dos serviços objeto do presente certame, o(a) Sr.(a) ................................................................., inscrito(a) no (Conselho competente) ................. sob os n.º ……….....…...., pertencente ao quadro permanente, detentor(a) do acervo técnico apresentado neste processo licitatório.</w:t>
      </w:r>
    </w:p>
    <w:p>
      <w:pPr>
        <w:pStyle w:val="Normal"/>
        <w:keepLines w:val="false"/>
        <w:widowControl/>
        <w:spacing w:before="200" w:after="288"/>
        <w:ind w:firstLine="1420"/>
        <w:jc w:val="both"/>
        <w:rPr>
          <w:color w:val="111111"/>
        </w:rPr>
      </w:pPr>
      <w:r>
        <w:rPr>
          <w:rFonts w:eastAsia="Times New Roman" w:cs="Times New Roman" w:ascii="Times New Roman" w:hAnsi="Times New Roman"/>
          <w:b/>
          <w:color w:val="111111"/>
          <w:sz w:val="24"/>
          <w:szCs w:val="24"/>
        </w:rPr>
        <w:t xml:space="preserve"> </w:t>
      </w:r>
    </w:p>
    <w:p>
      <w:pPr>
        <w:pStyle w:val="Normal"/>
        <w:keepLines w:val="false"/>
        <w:widowControl/>
        <w:spacing w:before="200" w:after="288"/>
        <w:jc w:val="end"/>
        <w:rPr>
          <w:color w:val="111111"/>
        </w:rPr>
      </w:pPr>
      <w:r>
        <w:rPr>
          <w:rFonts w:eastAsia="Times New Roman" w:cs="Times New Roman" w:ascii="Times New Roman" w:hAnsi="Times New Roman"/>
          <w:color w:val="111111"/>
          <w:sz w:val="24"/>
          <w:szCs w:val="24"/>
        </w:rPr>
        <w:t>___________________, ____ de _________________ de 20___.</w:t>
      </w:r>
    </w:p>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 xml:space="preserve"> </w:t>
      </w:r>
    </w:p>
    <w:p>
      <w:pPr>
        <w:pStyle w:val="Normal"/>
        <w:keepLines w:val="false"/>
        <w:widowControl/>
        <w:spacing w:before="200" w:after="288"/>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keepLines w:val="false"/>
        <w:widowControl/>
        <w:spacing w:before="200" w:after="288"/>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color w:val="111111"/>
        </w:rPr>
      </w:pPr>
      <w:r>
        <w:rPr>
          <w:rFonts w:eastAsia="Times New Roman" w:cs="Times New Roman" w:ascii="Times New Roman" w:hAnsi="Times New Roman"/>
          <w:color w:val="111111"/>
          <w:sz w:val="24"/>
          <w:szCs w:val="24"/>
        </w:rPr>
        <w:t>___________________________________________</w:t>
      </w:r>
    </w:p>
    <w:p>
      <w:pPr>
        <w:pStyle w:val="Normal"/>
        <w:pBdr/>
        <w:rPr>
          <w:color w:val="111111"/>
        </w:rPr>
      </w:pPr>
      <w:r>
        <w:rPr>
          <w:rFonts w:eastAsia="Times New Roman" w:cs="Times New Roman" w:ascii="Times New Roman" w:hAnsi="Times New Roman"/>
          <w:color w:val="111111"/>
          <w:sz w:val="24"/>
          <w:szCs w:val="24"/>
        </w:rPr>
        <w:t>Assinatura do representante da licitante</w:t>
      </w:r>
    </w:p>
    <w:p>
      <w:pPr>
        <w:pStyle w:val="Normal"/>
        <w:pBdr/>
        <w:rPr>
          <w:color w:val="111111"/>
        </w:rPr>
      </w:pPr>
      <w:r>
        <w:rPr>
          <w:rFonts w:eastAsia="Times New Roman" w:cs="Times New Roman" w:ascii="Times New Roman" w:hAnsi="Times New Roman"/>
          <w:color w:val="111111"/>
          <w:sz w:val="24"/>
          <w:szCs w:val="24"/>
        </w:rPr>
        <w:t xml:space="preserve">  </w:t>
      </w:r>
    </w:p>
    <w:p>
      <w:pPr>
        <w:pStyle w:val="Normal"/>
        <w:pBdr/>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color w:val="111111"/>
        </w:rPr>
      </w:pPr>
      <w:r>
        <w:rPr>
          <w:rFonts w:eastAsia="Times New Roman" w:cs="Times New Roman" w:ascii="Times New Roman" w:hAnsi="Times New Roman"/>
          <w:color w:val="111111"/>
          <w:sz w:val="24"/>
          <w:szCs w:val="24"/>
        </w:rPr>
        <w:t>___________________________________________</w:t>
      </w:r>
    </w:p>
    <w:p>
      <w:pPr>
        <w:pStyle w:val="Normal"/>
        <w:pBdr/>
        <w:rPr>
          <w:color w:val="111111"/>
        </w:rPr>
      </w:pPr>
      <w:r>
        <w:rPr>
          <w:rFonts w:eastAsia="Times New Roman" w:cs="Times New Roman" w:ascii="Times New Roman" w:hAnsi="Times New Roman"/>
          <w:color w:val="111111"/>
          <w:sz w:val="24"/>
          <w:szCs w:val="24"/>
        </w:rPr>
        <w:t>Nome do representante da licitante</w:t>
      </w:r>
    </w:p>
    <w:p>
      <w:pPr>
        <w:pStyle w:val="Normal"/>
        <w:keepLines w:val="false"/>
        <w:widowControl/>
        <w:spacing w:before="200" w:after="288"/>
        <w:jc w:val="both"/>
        <w:rPr>
          <w:rFonts w:ascii="Times New Roman" w:hAnsi="Times New Roman" w:eastAsia="Times New Roman" w:cs="Times New Roman"/>
          <w:b/>
          <w:color w:val="111111"/>
          <w:sz w:val="24"/>
          <w:szCs w:val="24"/>
        </w:rPr>
      </w:pPr>
      <w:r>
        <w:rPr>
          <w:rFonts w:eastAsia="Times New Roman" w:cs="Times New Roman" w:ascii="Times New Roman" w:hAnsi="Times New Roman"/>
          <w:b/>
          <w:color w:val="111111"/>
          <w:sz w:val="24"/>
          <w:szCs w:val="24"/>
        </w:rPr>
      </w:r>
      <w:r>
        <w:br w:type="page"/>
      </w:r>
    </w:p>
    <w:p>
      <w:pPr>
        <w:pStyle w:val="Heading4"/>
        <w:spacing w:before="0" w:after="120"/>
        <w:rPr>
          <w:color w:val="111111"/>
        </w:rPr>
      </w:pPr>
      <w:r>
        <w:rPr>
          <w:color w:val="111111"/>
        </w:rPr>
        <w:t>ANEXO VI</w:t>
      </w:r>
    </w:p>
    <w:p>
      <w:pPr>
        <w:pStyle w:val="Heading4"/>
        <w:rPr>
          <w:color w:val="111111"/>
        </w:rPr>
      </w:pPr>
      <w:r>
        <w:rPr>
          <w:color w:val="111111"/>
        </w:rPr>
        <w:t>MODELO DE DECLARAÇÃO DE RECONHECIMENTO DO LOCAL DA OBRA/SERVIÇO</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  </w:t>
      </w:r>
    </w:p>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Eu, (Arquiteto/Engenheiro) ________________________________________, inscrito no (conselho competente) sob o nº _________, responsável técnico da empresa ________________________________________________, venho pelo presente declarar, sob as penas da lei e em atendimento ao Edital nº. 135/2023, que fiz o reconhecimento das condições do local, comprovando a viabilidade para a execução do objeto deste certame, de acordo com as especificações técnicas que integram o Edital e seus Anexos.</w:t>
      </w:r>
    </w:p>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 xml:space="preserve"> </w:t>
      </w:r>
    </w:p>
    <w:p>
      <w:pPr>
        <w:pStyle w:val="Normal"/>
        <w:keepLines w:val="false"/>
        <w:widowControl/>
        <w:spacing w:before="200" w:after="288"/>
        <w:jc w:val="end"/>
        <w:rPr>
          <w:color w:val="111111"/>
        </w:rPr>
      </w:pPr>
      <w:r>
        <w:rPr>
          <w:rFonts w:eastAsia="Times New Roman" w:cs="Times New Roman" w:ascii="Times New Roman" w:hAnsi="Times New Roman"/>
          <w:color w:val="111111"/>
          <w:sz w:val="24"/>
          <w:szCs w:val="24"/>
        </w:rPr>
        <w:t>___________________, ____ de _________________ de 20___.</w:t>
      </w:r>
    </w:p>
    <w:p>
      <w:pPr>
        <w:pStyle w:val="Normal"/>
        <w:keepLines w:val="false"/>
        <w:widowControl/>
        <w:pBdr/>
        <w:spacing w:before="200" w:after="288"/>
        <w:ind w:firstLine="1420"/>
        <w:jc w:val="both"/>
        <w:rPr>
          <w:color w:val="111111"/>
        </w:rPr>
      </w:pPr>
      <w:bookmarkStart w:id="3" w:name="_heading=h.1unc40jc7q5p"/>
      <w:bookmarkEnd w:id="3"/>
      <w:r>
        <w:rPr>
          <w:rFonts w:eastAsia="Times New Roman" w:cs="Times New Roman" w:ascii="Times New Roman" w:hAnsi="Times New Roman"/>
          <w:color w:val="111111"/>
          <w:sz w:val="24"/>
          <w:szCs w:val="24"/>
        </w:rPr>
        <w:t xml:space="preserve"> </w:t>
      </w:r>
    </w:p>
    <w:p>
      <w:pPr>
        <w:pStyle w:val="Normal"/>
        <w:keepLines w:val="false"/>
        <w:widowControl/>
        <w:spacing w:before="200" w:after="288"/>
        <w:ind w:firstLine="1420"/>
        <w:jc w:val="both"/>
        <w:rPr>
          <w:color w:val="111111"/>
        </w:rPr>
      </w:pPr>
      <w:r>
        <w:rPr>
          <w:rFonts w:eastAsia="Times New Roman" w:cs="Times New Roman" w:ascii="Times New Roman" w:hAnsi="Times New Roman"/>
          <w:b/>
          <w:color w:val="111111"/>
          <w:sz w:val="24"/>
          <w:szCs w:val="24"/>
        </w:rPr>
        <w:t xml:space="preserve"> </w:t>
      </w:r>
      <w:r>
        <w:rPr>
          <w:rFonts w:eastAsia="Times New Roman" w:cs="Times New Roman" w:ascii="Times New Roman" w:hAnsi="Times New Roman"/>
          <w:color w:val="111111"/>
          <w:sz w:val="24"/>
          <w:szCs w:val="24"/>
        </w:rPr>
        <w:t xml:space="preserve"> </w:t>
      </w:r>
    </w:p>
    <w:p>
      <w:pPr>
        <w:pStyle w:val="Normal"/>
        <w:keepLines w:val="false"/>
        <w:widowControl/>
        <w:spacing w:before="200" w:after="288"/>
        <w:ind w:firstLine="1420"/>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keepLines w:val="false"/>
        <w:widowControl/>
        <w:spacing w:before="200" w:after="288"/>
        <w:ind w:firstLine="1420"/>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rPr>
          <w:color w:val="111111"/>
        </w:rPr>
      </w:pPr>
      <w:r>
        <w:rPr>
          <w:rFonts w:eastAsia="Times New Roman" w:cs="Times New Roman" w:ascii="Times New Roman" w:hAnsi="Times New Roman"/>
          <w:color w:val="111111"/>
          <w:sz w:val="24"/>
          <w:szCs w:val="24"/>
        </w:rPr>
        <w:t>___________________________________________</w:t>
      </w:r>
    </w:p>
    <w:p>
      <w:pPr>
        <w:pStyle w:val="Normal"/>
        <w:rPr>
          <w:color w:val="111111"/>
        </w:rPr>
      </w:pPr>
      <w:r>
        <w:rPr>
          <w:rFonts w:eastAsia="Times New Roman" w:cs="Times New Roman" w:ascii="Times New Roman" w:hAnsi="Times New Roman"/>
          <w:color w:val="111111"/>
          <w:sz w:val="24"/>
          <w:szCs w:val="24"/>
        </w:rPr>
        <w:t>Assinatura do responsável técnico da licitante</w:t>
      </w:r>
    </w:p>
    <w:p>
      <w:pPr>
        <w:pStyle w:val="Normal"/>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rPr>
          <w:color w:val="111111"/>
        </w:rPr>
      </w:pPr>
      <w:r>
        <w:rPr>
          <w:rFonts w:eastAsia="Times New Roman" w:cs="Times New Roman" w:ascii="Times New Roman" w:hAnsi="Times New Roman"/>
          <w:color w:val="111111"/>
          <w:sz w:val="24"/>
          <w:szCs w:val="24"/>
        </w:rPr>
        <w:t>___________________________________________</w:t>
      </w:r>
    </w:p>
    <w:p>
      <w:pPr>
        <w:pStyle w:val="Normal"/>
        <w:rPr>
          <w:color w:val="111111"/>
        </w:rPr>
      </w:pPr>
      <w:r>
        <w:rPr>
          <w:rFonts w:eastAsia="Times New Roman" w:cs="Times New Roman" w:ascii="Times New Roman" w:hAnsi="Times New Roman"/>
          <w:color w:val="111111"/>
          <w:sz w:val="24"/>
          <w:szCs w:val="24"/>
        </w:rPr>
        <w:t>Nome do responsável técnico da licitante</w:t>
      </w:r>
    </w:p>
    <w:p>
      <w:pPr>
        <w:pStyle w:val="Normal"/>
        <w:keepLines w:val="false"/>
        <w:widowControl/>
        <w:spacing w:before="200" w:after="288"/>
        <w:ind w:start="-20"/>
        <w:jc w:val="both"/>
        <w:rPr>
          <w:color w:val="111111"/>
        </w:rPr>
      </w:pPr>
      <w:r>
        <w:rPr>
          <w:rFonts w:eastAsia="Times New Roman" w:cs="Times New Roman" w:ascii="Times New Roman" w:hAnsi="Times New Roman"/>
          <w:b/>
          <w:color w:val="111111"/>
          <w:sz w:val="24"/>
          <w:szCs w:val="24"/>
        </w:rPr>
        <w:t xml:space="preserve"> </w:t>
      </w:r>
      <w:r>
        <w:br w:type="page"/>
      </w:r>
    </w:p>
    <w:p>
      <w:pPr>
        <w:pStyle w:val="Heading4"/>
        <w:spacing w:before="0" w:after="120"/>
        <w:rPr>
          <w:color w:val="111111"/>
        </w:rPr>
      </w:pPr>
      <w:r>
        <w:rPr>
          <w:color w:val="111111"/>
        </w:rPr>
        <w:t>ANEXO VII</w:t>
      </w:r>
    </w:p>
    <w:p>
      <w:pPr>
        <w:pStyle w:val="Heading4"/>
        <w:rPr>
          <w:color w:val="111111"/>
        </w:rPr>
      </w:pPr>
      <w:r>
        <w:rPr>
          <w:color w:val="111111"/>
        </w:rPr>
        <w:t>TERMO DE COMPROMISSO PARA ELABORAÇÃO DOS PROGRAMAS DE PREVENÇÃO DE SEGURANÇA E SAÚDE NO TRABALHO</w:t>
      </w:r>
    </w:p>
    <w:p>
      <w:pPr>
        <w:pStyle w:val="Normal"/>
        <w:keepLines w:val="false"/>
        <w:widowControl/>
        <w:spacing w:before="200" w:after="288"/>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A licitante ____________________________________________, CNPJ nº.________________________________ por intermédio de seu representante legal, o(a) Sr.(a).______________________________________, se compromete a elaborar os Programas de Prevenção de Segurança e Saúde no Trabalho, previstos nas Normas Regulamentadoras (PCMSO, PPRA, PCMAT) e demais medidas previstas na legislação pertinente.</w:t>
      </w:r>
    </w:p>
    <w:p>
      <w:pPr>
        <w:pStyle w:val="Normal"/>
        <w:keepLines w:val="false"/>
        <w:widowControl/>
        <w:spacing w:before="200" w:after="288"/>
        <w:jc w:val="both"/>
        <w:rPr>
          <w:color w:val="111111"/>
        </w:rPr>
      </w:pPr>
      <w:r>
        <w:rPr>
          <w:rFonts w:eastAsia="Times New Roman" w:cs="Times New Roman" w:ascii="Times New Roman" w:hAnsi="Times New Roman"/>
          <w:color w:val="111111"/>
          <w:sz w:val="24"/>
          <w:szCs w:val="24"/>
        </w:rPr>
        <w:t xml:space="preserve"> </w:t>
      </w:r>
    </w:p>
    <w:p>
      <w:pPr>
        <w:pStyle w:val="Normal"/>
        <w:keepLines w:val="false"/>
        <w:widowControl/>
        <w:spacing w:before="200" w:after="288"/>
        <w:jc w:val="end"/>
        <w:rPr>
          <w:color w:val="111111"/>
        </w:rPr>
      </w:pPr>
      <w:r>
        <w:rPr>
          <w:rFonts w:eastAsia="Times New Roman" w:cs="Times New Roman" w:ascii="Times New Roman" w:hAnsi="Times New Roman"/>
          <w:color w:val="111111"/>
          <w:sz w:val="24"/>
          <w:szCs w:val="24"/>
        </w:rPr>
        <w:t>_______________________, ____ de _________________ de 20___.</w:t>
      </w:r>
    </w:p>
    <w:p>
      <w:pPr>
        <w:pStyle w:val="Normal"/>
        <w:keepLines w:val="false"/>
        <w:widowControl/>
        <w:pBdr/>
        <w:spacing w:before="200" w:after="288"/>
        <w:jc w:val="both"/>
        <w:rPr>
          <w:color w:val="111111"/>
        </w:rPr>
      </w:pPr>
      <w:bookmarkStart w:id="4" w:name="_heading=h.6s0odfg5h8v7"/>
      <w:bookmarkEnd w:id="4"/>
      <w:r>
        <w:rPr>
          <w:rFonts w:eastAsia="Times New Roman" w:cs="Times New Roman" w:ascii="Times New Roman" w:hAnsi="Times New Roman"/>
          <w:color w:val="111111"/>
          <w:sz w:val="24"/>
          <w:szCs w:val="24"/>
        </w:rPr>
        <w:t xml:space="preserve"> </w:t>
      </w:r>
    </w:p>
    <w:p>
      <w:pPr>
        <w:pStyle w:val="Normal"/>
        <w:pBdr/>
        <w:rPr>
          <w:color w:val="111111"/>
        </w:rPr>
      </w:pPr>
      <w:r>
        <w:rPr>
          <w:rFonts w:eastAsia="Times New Roman" w:cs="Times New Roman" w:ascii="Times New Roman" w:hAnsi="Times New Roman"/>
          <w:color w:val="111111"/>
          <w:sz w:val="24"/>
          <w:szCs w:val="24"/>
        </w:rPr>
        <w:t xml:space="preserve"> </w:t>
      </w:r>
    </w:p>
    <w:p>
      <w:pPr>
        <w:pStyle w:val="Normal"/>
        <w:pBdr/>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color w:val="111111"/>
        </w:rPr>
      </w:pPr>
      <w:r>
        <w:rPr>
          <w:rFonts w:eastAsia="Times New Roman" w:cs="Times New Roman" w:ascii="Times New Roman" w:hAnsi="Times New Roman"/>
          <w:color w:val="111111"/>
          <w:sz w:val="24"/>
          <w:szCs w:val="24"/>
        </w:rPr>
        <w:t xml:space="preserve"> </w:t>
      </w:r>
    </w:p>
    <w:p>
      <w:pPr>
        <w:pStyle w:val="Normal"/>
        <w:pBdr/>
        <w:rPr>
          <w:color w:val="111111"/>
        </w:rPr>
      </w:pPr>
      <w:r>
        <w:rPr>
          <w:rFonts w:eastAsia="Times New Roman" w:cs="Times New Roman" w:ascii="Times New Roman" w:hAnsi="Times New Roman"/>
          <w:color w:val="111111"/>
          <w:sz w:val="24"/>
          <w:szCs w:val="24"/>
        </w:rPr>
        <w:t>___________________________________________</w:t>
      </w:r>
    </w:p>
    <w:p>
      <w:pPr>
        <w:pStyle w:val="Normal"/>
        <w:pBdr/>
        <w:rPr>
          <w:color w:val="111111"/>
        </w:rPr>
      </w:pPr>
      <w:r>
        <w:rPr>
          <w:rFonts w:eastAsia="Times New Roman" w:cs="Times New Roman" w:ascii="Times New Roman" w:hAnsi="Times New Roman"/>
          <w:color w:val="111111"/>
          <w:sz w:val="24"/>
          <w:szCs w:val="24"/>
        </w:rPr>
        <w:t>Assinatura do representante da licitante</w:t>
      </w:r>
    </w:p>
    <w:p>
      <w:pPr>
        <w:pStyle w:val="Normal"/>
        <w:pBdr/>
        <w:rPr>
          <w:color w:val="111111"/>
        </w:rPr>
      </w:pPr>
      <w:r>
        <w:rPr>
          <w:rFonts w:eastAsia="Times New Roman" w:cs="Times New Roman" w:ascii="Times New Roman" w:hAnsi="Times New Roman"/>
          <w:color w:val="111111"/>
          <w:sz w:val="24"/>
          <w:szCs w:val="24"/>
        </w:rPr>
        <w:t xml:space="preserve"> </w:t>
      </w:r>
    </w:p>
    <w:p>
      <w:pPr>
        <w:pStyle w:val="Normal"/>
        <w:pBdr/>
        <w:rPr>
          <w:color w:val="111111"/>
        </w:rPr>
      </w:pPr>
      <w:r>
        <w:rPr>
          <w:rFonts w:eastAsia="Times New Roman" w:cs="Times New Roman" w:ascii="Times New Roman" w:hAnsi="Times New Roman"/>
          <w:color w:val="111111"/>
          <w:sz w:val="24"/>
          <w:szCs w:val="24"/>
        </w:rPr>
        <w:t xml:space="preserve"> </w:t>
      </w:r>
    </w:p>
    <w:p>
      <w:pPr>
        <w:pStyle w:val="Normal"/>
        <w:pBdr/>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pBdr/>
        <w:rPr>
          <w:color w:val="111111"/>
        </w:rPr>
      </w:pPr>
      <w:r>
        <w:rPr>
          <w:rFonts w:eastAsia="Times New Roman" w:cs="Times New Roman" w:ascii="Times New Roman" w:hAnsi="Times New Roman"/>
          <w:color w:val="111111"/>
          <w:sz w:val="24"/>
          <w:szCs w:val="24"/>
        </w:rPr>
        <w:t>___________________________________________</w:t>
      </w:r>
    </w:p>
    <w:p>
      <w:pPr>
        <w:pStyle w:val="Normal"/>
        <w:pBdr/>
        <w:rPr>
          <w:color w:val="111111"/>
        </w:rPr>
      </w:pPr>
      <w:r>
        <w:rPr>
          <w:rFonts w:eastAsia="Times New Roman" w:cs="Times New Roman" w:ascii="Times New Roman" w:hAnsi="Times New Roman"/>
          <w:color w:val="111111"/>
          <w:sz w:val="24"/>
          <w:szCs w:val="24"/>
        </w:rPr>
        <w:t>Nome do representante da licitante</w:t>
      </w:r>
    </w:p>
    <w:p>
      <w:pPr>
        <w:pStyle w:val="Normal"/>
        <w:keepLines w:val="false"/>
        <w:widowControl/>
        <w:spacing w:before="200" w:after="288"/>
        <w:ind w:start="-20"/>
        <w:jc w:val="both"/>
        <w:rPr>
          <w:color w:val="111111"/>
        </w:rPr>
      </w:pPr>
      <w:r>
        <w:rPr>
          <w:rFonts w:eastAsia="Times New Roman" w:cs="Times New Roman" w:ascii="Times New Roman" w:hAnsi="Times New Roman"/>
          <w:color w:val="111111"/>
          <w:sz w:val="24"/>
          <w:szCs w:val="24"/>
        </w:rPr>
        <w:t xml:space="preserve"> </w:t>
      </w:r>
      <w:r>
        <w:br w:type="page"/>
      </w:r>
    </w:p>
    <w:p>
      <w:pPr>
        <w:pStyle w:val="Heading4"/>
        <w:spacing w:before="0" w:after="120"/>
        <w:rPr>
          <w:color w:val="111111"/>
        </w:rPr>
      </w:pPr>
      <w:r>
        <w:rPr>
          <w:color w:val="111111"/>
        </w:rPr>
        <w:t>ANEXO VIII</w:t>
      </w:r>
    </w:p>
    <w:p>
      <w:pPr>
        <w:pStyle w:val="Heading4"/>
        <w:rPr>
          <w:color w:val="111111"/>
        </w:rPr>
      </w:pPr>
      <w:r>
        <w:rPr>
          <w:color w:val="111111"/>
        </w:rPr>
        <w:t>PROJETOS</w:t>
      </w:r>
    </w:p>
    <w:p>
      <w:pPr>
        <w:pStyle w:val="Normal"/>
        <w:keepLines w:val="false"/>
        <w:widowControl/>
        <w:spacing w:before="200" w:after="288"/>
        <w:jc w:val="both"/>
        <w:rPr>
          <w:color w:val="111111"/>
        </w:rPr>
      </w:pPr>
      <w:r>
        <w:rPr>
          <w:rFonts w:eastAsia="Times New Roman" w:cs="Times New Roman" w:ascii="Times New Roman" w:hAnsi="Times New Roman"/>
          <w:b/>
          <w:color w:val="111111"/>
          <w:sz w:val="24"/>
          <w:szCs w:val="24"/>
        </w:rPr>
        <w:t xml:space="preserve"> </w:t>
      </w:r>
    </w:p>
    <w:p>
      <w:pPr>
        <w:pStyle w:val="Normal"/>
        <w:keepLines w:val="false"/>
        <w:widowControl/>
        <w:spacing w:lineRule="auto" w:line="360" w:before="200" w:after="0"/>
        <w:jc w:val="both"/>
        <w:rPr>
          <w:color w:val="111111"/>
        </w:rPr>
      </w:pPr>
      <w:r>
        <w:rPr>
          <w:rFonts w:eastAsia="Times New Roman" w:cs="Times New Roman" w:ascii="Times New Roman" w:hAnsi="Times New Roman"/>
          <w:color w:val="111111"/>
          <w:sz w:val="24"/>
          <w:szCs w:val="24"/>
        </w:rPr>
        <w:t>Acesso através do endereço eletrônico:</w:t>
      </w:r>
    </w:p>
    <w:p>
      <w:pPr>
        <w:pStyle w:val="Normal"/>
        <w:keepLines w:val="false"/>
        <w:widowControl/>
        <w:spacing w:lineRule="auto" w:line="360" w:before="200" w:after="0"/>
        <w:jc w:val="both"/>
        <w:rPr>
          <w:color w:val="111111"/>
        </w:rPr>
      </w:pPr>
      <w:r>
        <w:rPr>
          <w:rFonts w:eastAsia="Times New Roman" w:cs="Times New Roman" w:ascii="Times New Roman" w:hAnsi="Times New Roman"/>
          <w:color w:val="111111"/>
          <w:szCs w:val="24"/>
        </w:rPr>
        <w:t>https://drive.google.com/drive/folders/1gOR88AahJlNBaeLcN_bO0sg5VyI9Ev0k?usp=sharing</w:t>
      </w:r>
    </w:p>
    <w:p>
      <w:pPr>
        <w:pStyle w:val="Normal"/>
        <w:ind w:firstLine="709"/>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288"/>
        <w:ind w:hanging="2"/>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keepLines w:val="false"/>
        <w:widowControl/>
        <w:numPr>
          <w:ilvl w:val="0"/>
          <w:numId w:val="1"/>
        </w:numPr>
        <w:pBdr/>
        <w:spacing w:before="0" w:after="288"/>
        <w:jc w:val="both"/>
        <w:rPr>
          <w:color w:val="111111"/>
        </w:rPr>
      </w:pPr>
      <w:r>
        <w:rPr>
          <w:color w:val="111111"/>
        </w:rPr>
      </w:r>
      <w:r>
        <w:br w:type="page"/>
      </w:r>
    </w:p>
    <w:p>
      <w:pPr>
        <w:pStyle w:val="Normal"/>
        <w:spacing w:before="0" w:after="288"/>
        <w:ind w:start="360"/>
        <w:rPr>
          <w:color w:val="111111"/>
        </w:rPr>
      </w:pPr>
      <w:bookmarkStart w:id="5" w:name="_heading=h.1th0pk1lghd7"/>
      <w:bookmarkEnd w:id="5"/>
      <w:r>
        <w:rPr>
          <w:rFonts w:eastAsia="Times New Roman" w:cs="Times New Roman" w:ascii="Times New Roman" w:hAnsi="Times New Roman"/>
          <w:b/>
          <w:bCs/>
          <w:color w:val="111111"/>
          <w:sz w:val="24"/>
          <w:szCs w:val="24"/>
        </w:rPr>
        <w:t xml:space="preserve">EDITAL N.º </w:t>
      </w:r>
      <w:r>
        <w:rPr>
          <w:rFonts w:eastAsia="Times New Roman" w:cs="Times New Roman" w:ascii="Times New Roman" w:hAnsi="Times New Roman"/>
          <w:b/>
          <w:bCs/>
          <w:color w:val="111111"/>
          <w:sz w:val="24"/>
          <w:szCs w:val="24"/>
        </w:rPr>
        <w:t xml:space="preserve">111/2026 - </w:t>
      </w:r>
      <w:r>
        <w:rPr>
          <w:rFonts w:eastAsia="Times New Roman" w:cs="Times New Roman" w:ascii="Times New Roman" w:hAnsi="Times New Roman"/>
          <w:b/>
          <w:bCs/>
          <w:color w:val="111111"/>
          <w:sz w:val="24"/>
          <w:szCs w:val="24"/>
        </w:rPr>
        <w:t>PREGÃO ELETRÔNICO</w:t>
      </w:r>
    </w:p>
    <w:p>
      <w:pPr>
        <w:pStyle w:val="Heading4"/>
        <w:spacing w:before="288" w:after="288"/>
        <w:ind w:start="360"/>
        <w:rPr>
          <w:color w:val="111111"/>
        </w:rPr>
      </w:pPr>
      <w:r>
        <w:rPr>
          <w:color w:val="111111"/>
        </w:rPr>
        <w:t>ANEXO II – ESTUDO TÉCNICO PRELIMINAR</w:t>
      </w:r>
    </w:p>
    <w:p>
      <w:pPr>
        <w:pStyle w:val="Normal"/>
        <w:jc w:val="both"/>
        <w:rPr/>
      </w:pPr>
      <w:r>
        <w:rPr>
          <w:color w:val="111111"/>
        </w:rPr>
        <w:br/>
      </w:r>
      <w:r>
        <w:rPr>
          <w:rFonts w:eastAsia="Times New Roman" w:cs="Times New Roman" w:ascii="Times New Roman" w:hAnsi="Times New Roman"/>
          <w:color w:val="111111"/>
          <w:sz w:val="24"/>
          <w:szCs w:val="24"/>
        </w:rPr>
        <w:t>O Estudo Técnico Preliminar se encontra disponível no</w:t>
      </w:r>
      <w:hyperlink r:id="rId20">
        <w:r>
          <w:rPr>
            <w:rStyle w:val="Style3"/>
            <w:rFonts w:eastAsia="Times New Roman" w:cs="Times New Roman" w:ascii="Times New Roman" w:hAnsi="Times New Roman"/>
            <w:color w:val="111111"/>
            <w:sz w:val="24"/>
            <w:szCs w:val="24"/>
          </w:rPr>
          <w:t xml:space="preserve"> </w:t>
        </w:r>
      </w:hyperlink>
      <w:hyperlink r:id="rId21">
        <w:r>
          <w:rPr>
            <w:rStyle w:val="Style3"/>
            <w:rFonts w:eastAsia="Times New Roman" w:cs="Times New Roman" w:ascii="Times New Roman" w:hAnsi="Times New Roman"/>
            <w:color w:val="111111"/>
            <w:sz w:val="24"/>
            <w:szCs w:val="24"/>
            <w:u w:val="single"/>
          </w:rPr>
          <w:t>sítio</w:t>
        </w:r>
      </w:hyperlink>
      <w:r>
        <w:rPr>
          <w:rFonts w:eastAsia="Times New Roman" w:cs="Times New Roman" w:ascii="Times New Roman" w:hAnsi="Times New Roman"/>
          <w:color w:val="111111"/>
          <w:sz w:val="24"/>
          <w:szCs w:val="24"/>
        </w:rPr>
        <w:t xml:space="preserve"> eletrônico do município de Canoas/RS e no</w:t>
      </w:r>
      <w:hyperlink r:id="rId22">
        <w:r>
          <w:rPr>
            <w:rStyle w:val="Style3"/>
            <w:rFonts w:eastAsia="Times New Roman" w:cs="Times New Roman" w:ascii="Times New Roman" w:hAnsi="Times New Roman"/>
            <w:color w:val="111111"/>
            <w:sz w:val="24"/>
            <w:szCs w:val="24"/>
          </w:rPr>
          <w:t xml:space="preserve"> </w:t>
        </w:r>
      </w:hyperlink>
      <w:hyperlink r:id="rId23">
        <w:r>
          <w:rPr>
            <w:rStyle w:val="Style3"/>
            <w:rFonts w:eastAsia="Times New Roman" w:cs="Times New Roman" w:ascii="Times New Roman" w:hAnsi="Times New Roman"/>
            <w:color w:val="111111"/>
            <w:sz w:val="24"/>
            <w:szCs w:val="24"/>
            <w:u w:val="single"/>
          </w:rPr>
          <w:t>sítio do Pregão Banrisul</w:t>
        </w:r>
      </w:hyperlink>
      <w:r>
        <w:rPr>
          <w:rFonts w:eastAsia="Times New Roman" w:cs="Times New Roman" w:ascii="Times New Roman" w:hAnsi="Times New Roman"/>
          <w:color w:val="111111"/>
          <w:sz w:val="24"/>
          <w:szCs w:val="24"/>
        </w:rPr>
        <w:t>.</w:t>
      </w:r>
      <w:r>
        <w:br w:type="page"/>
      </w:r>
    </w:p>
    <w:p>
      <w:pPr>
        <w:pStyle w:val="Normal"/>
        <w:spacing w:before="0" w:after="0"/>
        <w:rPr>
          <w:color w:val="111111"/>
        </w:rPr>
      </w:pPr>
      <w:r>
        <w:rPr>
          <w:rFonts w:eastAsia="Times New Roman" w:cs="Times New Roman" w:ascii="Times New Roman" w:hAnsi="Times New Roman"/>
          <w:b/>
          <w:bCs/>
          <w:color w:val="111111"/>
          <w:sz w:val="24"/>
          <w:szCs w:val="24"/>
        </w:rPr>
        <w:t xml:space="preserve">EDITAL N.º </w:t>
      </w:r>
      <w:r>
        <w:rPr>
          <w:rFonts w:eastAsia="Times New Roman" w:cs="Times New Roman" w:ascii="Times New Roman" w:hAnsi="Times New Roman"/>
          <w:b/>
          <w:bCs/>
          <w:color w:val="111111"/>
          <w:sz w:val="24"/>
          <w:szCs w:val="24"/>
        </w:rPr>
        <w:t xml:space="preserve">111/2026 - </w:t>
      </w:r>
      <w:r>
        <w:rPr>
          <w:rFonts w:eastAsia="Times New Roman" w:cs="Times New Roman" w:ascii="Times New Roman" w:hAnsi="Times New Roman"/>
          <w:b/>
          <w:bCs/>
          <w:color w:val="111111"/>
          <w:sz w:val="24"/>
          <w:szCs w:val="24"/>
        </w:rPr>
        <w:t>PREGÃO ELETRÔNICO</w:t>
      </w:r>
    </w:p>
    <w:p>
      <w:pPr>
        <w:pStyle w:val="Heading4"/>
        <w:spacing w:before="288" w:after="288"/>
        <w:ind w:start="360"/>
        <w:rPr>
          <w:color w:val="111111"/>
        </w:rPr>
      </w:pPr>
      <w:r>
        <w:rPr>
          <w:color w:val="111111"/>
        </w:rPr>
        <w:t>ANEXO III – MINUTA DE CONTRATO</w:t>
      </w:r>
    </w:p>
    <w:p>
      <w:pPr>
        <w:pStyle w:val="Normal"/>
        <w:pBdr/>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p>
      <w:pPr>
        <w:pStyle w:val="Normal"/>
        <w:spacing w:before="288" w:after="0"/>
        <w:jc w:val="both"/>
        <w:rPr>
          <w:color w:val="111111"/>
        </w:rPr>
      </w:pPr>
      <w:r>
        <w:rPr>
          <w:rFonts w:cs="Times New Roman" w:ascii="Times New Roman" w:hAnsi="Times New Roman"/>
          <w:color w:val="111111"/>
          <w:sz w:val="24"/>
          <w:szCs w:val="24"/>
        </w:rPr>
        <w:t xml:space="preserve">Contrato n.º </w:t>
      </w:r>
      <w:r>
        <w:rPr>
          <w:rFonts w:cs="Times New Roman" w:ascii="Times New Roman" w:hAnsi="Times New Roman"/>
          <w:color w:val="111111"/>
          <w:sz w:val="24"/>
          <w:szCs w:val="24"/>
        </w:rPr>
        <w:t>___, de 20__</w:t>
      </w:r>
    </w:p>
    <w:p>
      <w:pPr>
        <w:pStyle w:val="Normal"/>
        <w:spacing w:before="288" w:after="0"/>
        <w:ind w:start="4536"/>
        <w:jc w:val="both"/>
        <w:rPr>
          <w:color w:val="111111"/>
        </w:rPr>
      </w:pPr>
      <w:r>
        <w:rPr>
          <w:rFonts w:cs="Times New Roman" w:ascii="Times New Roman" w:hAnsi="Times New Roman"/>
          <w:color w:val="111111"/>
          <w:sz w:val="24"/>
          <w:szCs w:val="24"/>
        </w:rPr>
        <w:t>Contratação de pessoa jurídica da área de engenharia para execução de subestação de 112,5kVA para o Corpo de Bombeiros de Canoas, em atendimento à demanda da Secretaria Municipal de Segurança Publica.</w:t>
      </w:r>
    </w:p>
    <w:p>
      <w:pPr>
        <w:pStyle w:val="Normal"/>
        <w:spacing w:before="288" w:after="0"/>
        <w:ind w:firstLine="1985"/>
        <w:jc w:val="both"/>
        <w:rPr>
          <w:color w:val="111111"/>
        </w:rPr>
      </w:pPr>
      <w:r>
        <w:rPr>
          <w:rFonts w:cs="Times New Roman" w:ascii="Times New Roman" w:hAnsi="Times New Roman"/>
          <w:color w:val="111111"/>
          <w:sz w:val="24"/>
          <w:szCs w:val="24"/>
        </w:rPr>
        <w:t xml:space="preserve">O </w:t>
      </w:r>
      <w:r>
        <w:rPr>
          <w:rFonts w:cs="Times New Roman" w:ascii="Times New Roman" w:hAnsi="Times New Roman"/>
          <w:b/>
          <w:bCs/>
          <w:color w:val="111111"/>
          <w:sz w:val="24"/>
          <w:szCs w:val="24"/>
        </w:rPr>
        <w:t>MUNICÍPIO DE CANOAS</w:t>
      </w:r>
      <w:r>
        <w:rPr>
          <w:rFonts w:cs="Times New Roman" w:ascii="Times New Roman" w:hAnsi="Times New Roman"/>
          <w:color w:val="111111"/>
          <w:sz w:val="24"/>
          <w:szCs w:val="24"/>
        </w:rPr>
        <w:t xml:space="preserve">, pessoa jurídica de Direito Público Interno, inscrita no </w:t>
      </w:r>
      <w:r>
        <w:rPr>
          <w:rFonts w:cs="Times New Roman" w:ascii="Times New Roman" w:hAnsi="Times New Roman"/>
          <w:b/>
          <w:bCs/>
          <w:color w:val="111111"/>
          <w:sz w:val="24"/>
          <w:szCs w:val="24"/>
        </w:rPr>
        <w:t>CNPJ sob o n.º 88.577.416/0001-18</w:t>
      </w:r>
      <w:r>
        <w:rPr>
          <w:rFonts w:cs="Times New Roman" w:ascii="Times New Roman" w:hAnsi="Times New Roman"/>
          <w:color w:val="111111"/>
          <w:sz w:val="24"/>
          <w:szCs w:val="24"/>
        </w:rPr>
        <w:t xml:space="preserve">, com sede na Rua Quinze de Janeiro, n.º 11, neste ato representado por seu Prefeito Municipal, Sr. AIRTON SOUZA, doravante denominada CONTRATANTE, e de outro lado </w:t>
      </w:r>
      <w:r>
        <w:rPr>
          <w:rFonts w:cs="Times New Roman" w:ascii="Times New Roman" w:hAnsi="Times New Roman"/>
          <w:b/>
          <w:bCs/>
          <w:color w:val="111111"/>
          <w:sz w:val="24"/>
          <w:szCs w:val="24"/>
        </w:rPr>
        <w:t>[RAZÃO SOCIAL DA CONTRATADA],</w:t>
      </w:r>
      <w:r>
        <w:rPr>
          <w:rFonts w:cs="Times New Roman" w:ascii="Times New Roman" w:hAnsi="Times New Roman"/>
          <w:color w:val="111111"/>
          <w:sz w:val="24"/>
          <w:szCs w:val="24"/>
        </w:rPr>
        <w:t xml:space="preserve"> pessoa jurídica de Direito Privado, com sede na [Endereço Completo], CEP __.___-___, inscrita no </w:t>
      </w:r>
      <w:r>
        <w:rPr>
          <w:rFonts w:cs="Times New Roman" w:ascii="Times New Roman" w:hAnsi="Times New Roman"/>
          <w:b/>
          <w:bCs/>
          <w:color w:val="111111"/>
          <w:sz w:val="24"/>
          <w:szCs w:val="24"/>
        </w:rPr>
        <w:t>CNPJ sob n.º __.___.___/____-__</w:t>
      </w:r>
      <w:r>
        <w:rPr>
          <w:rFonts w:cs="Times New Roman" w:ascii="Times New Roman" w:hAnsi="Times New Roman"/>
          <w:color w:val="111111"/>
          <w:sz w:val="24"/>
          <w:szCs w:val="24"/>
        </w:rPr>
        <w:t xml:space="preserve">, doravante denominada CONTRATADA, neste ato representada por [REPRESENTANTE LEGAL / PROCURADOR], [Cargo/Função], </w:t>
      </w:r>
      <w:r>
        <w:rPr>
          <w:rFonts w:cs="Times New Roman" w:ascii="Times New Roman" w:hAnsi="Times New Roman"/>
          <w:color w:val="111111"/>
          <w:sz w:val="24"/>
          <w:szCs w:val="24"/>
        </w:rPr>
        <w:t xml:space="preserve">conforme </w:t>
      </w:r>
      <w:r>
        <w:rPr>
          <w:rFonts w:cs="Times New Roman" w:ascii="Times New Roman" w:hAnsi="Times New Roman"/>
          <w:color w:val="111111"/>
          <w:sz w:val="24"/>
          <w:szCs w:val="24"/>
        </w:rPr>
        <w:t xml:space="preserve">atos constitutivos da empresa, </w:t>
      </w:r>
      <w:r>
        <w:rPr>
          <w:rFonts w:cs="Times New Roman" w:ascii="Times New Roman" w:hAnsi="Times New Roman"/>
          <w:color w:val="111111"/>
          <w:sz w:val="24"/>
          <w:szCs w:val="24"/>
        </w:rPr>
        <w:t xml:space="preserve">inscrito(a) no CPF sob n.º ***.___.___-**, por este instrumento e na melhor forma de Direito, celebram o presente Contrato, objeto do Processo Administrativo n.º </w:t>
      </w:r>
      <w:r>
        <w:rPr>
          <w:rFonts w:cs="Times New Roman" w:ascii="Times New Roman" w:hAnsi="Times New Roman"/>
          <w:color w:val="111111"/>
          <w:sz w:val="24"/>
          <w:szCs w:val="24"/>
        </w:rPr>
        <w:t>2_.0._________-_, Edital n.º 111/2026, na modalidade PREGÃO, na forma ELETRÔNICA, com fundamento na Lei n.º 14.133, de 1º de abril de 2021, subordinando-se às disposições da sobredita lei, Decreto Municipal n.º 549, de 26 de dezembro de 2023</w:t>
      </w:r>
      <w:r>
        <w:rPr>
          <w:rFonts w:cs="Times New Roman" w:ascii="Times New Roman" w:hAnsi="Times New Roman"/>
          <w:color w:val="111111"/>
          <w:sz w:val="24"/>
          <w:szCs w:val="24"/>
        </w:rPr>
        <w:t>, e demais legislações pertinentes, bem como das seguintes cláusulas e condições:</w:t>
      </w:r>
    </w:p>
    <w:p>
      <w:pPr>
        <w:pStyle w:val="Normal"/>
        <w:spacing w:before="288" w:after="0"/>
        <w:jc w:val="both"/>
        <w:rPr>
          <w:color w:val="111111"/>
        </w:rPr>
      </w:pPr>
      <w:r>
        <w:rPr>
          <w:rFonts w:cs="Times New Roman" w:ascii="Times New Roman" w:hAnsi="Times New Roman"/>
          <w:color w:val="111111"/>
          <w:sz w:val="24"/>
          <w:szCs w:val="24"/>
        </w:rPr>
        <w:t>CLÁUSULA PRIMEIRA – DO OBJETO</w:t>
      </w:r>
    </w:p>
    <w:p>
      <w:pPr>
        <w:pStyle w:val="Normal"/>
        <w:spacing w:before="288" w:after="0"/>
        <w:ind w:firstLine="1985"/>
        <w:jc w:val="both"/>
        <w:rPr>
          <w:color w:val="111111"/>
        </w:rPr>
      </w:pPr>
      <w:r>
        <w:rPr>
          <w:rFonts w:cs="Times New Roman" w:ascii="Times New Roman" w:hAnsi="Times New Roman"/>
          <w:color w:val="111111"/>
          <w:sz w:val="24"/>
          <w:szCs w:val="24"/>
        </w:rPr>
        <w:t xml:space="preserve">1.1. </w:t>
      </w:r>
      <w:r>
        <w:rPr>
          <w:rFonts w:cs="Times New Roman" w:ascii="Times New Roman" w:hAnsi="Times New Roman"/>
          <w:color w:val="111111"/>
          <w:sz w:val="24"/>
          <w:szCs w:val="24"/>
        </w:rPr>
        <w:t>Contratação de pessoa jurídica da área de engenharia para execução de subestação de 112,5kVA para o Corpo de Bombeiros de Canoas</w:t>
      </w:r>
      <w:r>
        <w:rPr>
          <w:rFonts w:cs="Times New Roman" w:ascii="Times New Roman" w:hAnsi="Times New Roman"/>
          <w:color w:val="111111"/>
          <w:sz w:val="24"/>
          <w:szCs w:val="24"/>
        </w:rPr>
        <w:t>, conforme condições, quantidades e exigências estabelecidas neste instrumento e seus anexos.</w:t>
      </w:r>
    </w:p>
    <w:p>
      <w:pPr>
        <w:pStyle w:val="Normal"/>
        <w:spacing w:before="288" w:after="0"/>
        <w:ind w:firstLine="1985"/>
        <w:jc w:val="both"/>
        <w:rPr>
          <w:color w:val="111111"/>
        </w:rPr>
      </w:pPr>
      <w:r>
        <w:rPr>
          <w:rFonts w:cs="Times New Roman" w:ascii="Times New Roman" w:hAnsi="Times New Roman"/>
          <w:color w:val="111111"/>
          <w:sz w:val="24"/>
          <w:szCs w:val="24"/>
        </w:rPr>
        <w:t xml:space="preserve">1.2. A execução do objeto do contrato está expressamente condicionada ao Termo de Referência, à Proposta Financeira apresentada pela CONTRATADA e demais condições constantes no Processo Administrativo n.º </w:t>
      </w:r>
      <w:r>
        <w:rPr>
          <w:rFonts w:cs="Times New Roman" w:ascii="Times New Roman" w:hAnsi="Times New Roman"/>
          <w:color w:val="111111"/>
          <w:sz w:val="24"/>
          <w:szCs w:val="24"/>
        </w:rPr>
        <w:t>2_.0._________-_.</w:t>
      </w:r>
    </w:p>
    <w:p>
      <w:pPr>
        <w:pStyle w:val="Normal"/>
        <w:spacing w:before="288" w:after="0"/>
        <w:ind w:firstLine="1985"/>
        <w:jc w:val="both"/>
        <w:rPr>
          <w:color w:val="111111"/>
        </w:rPr>
      </w:pPr>
      <w:r>
        <w:rPr>
          <w:rFonts w:cs="Times New Roman" w:ascii="Times New Roman" w:hAnsi="Times New Roman"/>
          <w:color w:val="111111"/>
          <w:sz w:val="24"/>
          <w:szCs w:val="24"/>
        </w:rPr>
        <w:t>1.3. É vedado à CONTRATADA subcontratar total ou parcialmente, associar-se a outrem, ceder, transferir total ou parcialmente o objeto deste contrato, sem a expressa autorização pelo CONTRATANTE, bem como realizar alteração social e modificação de sua finalidade ou de sua estrutura que restrinjam sua capacidade de concluir o contrato.</w:t>
      </w:r>
    </w:p>
    <w:p>
      <w:pPr>
        <w:pStyle w:val="Normal"/>
        <w:spacing w:before="288" w:after="0"/>
        <w:ind w:firstLine="1985"/>
        <w:jc w:val="both"/>
        <w:rPr>
          <w:color w:val="111111"/>
        </w:rPr>
      </w:pPr>
      <w:r>
        <w:rPr>
          <w:rFonts w:cs="Times New Roman" w:ascii="Times New Roman" w:hAnsi="Times New Roman"/>
          <w:color w:val="111111"/>
          <w:sz w:val="24"/>
          <w:szCs w:val="24"/>
        </w:rPr>
        <w:t xml:space="preserve">1.4. O objeto deverá ser </w:t>
      </w:r>
      <w:r>
        <w:rPr>
          <w:rFonts w:cs="Times New Roman" w:ascii="Times New Roman" w:hAnsi="Times New Roman"/>
          <w:color w:val="111111"/>
          <w:sz w:val="24"/>
          <w:szCs w:val="24"/>
        </w:rPr>
        <w:t>executado</w:t>
      </w:r>
      <w:r>
        <w:rPr>
          <w:rFonts w:cs="Times New Roman" w:ascii="Times New Roman" w:hAnsi="Times New Roman"/>
          <w:color w:val="111111"/>
          <w:sz w:val="24"/>
          <w:szCs w:val="24"/>
        </w:rPr>
        <w:t xml:space="preserve"> obedecendo o estabelecido no TERMO DE REFERÊNCIA, que constitui Anexo do presente Contrato, quanto aos prazos e garantias.</w:t>
      </w:r>
    </w:p>
    <w:p>
      <w:pPr>
        <w:pStyle w:val="Normal"/>
        <w:spacing w:before="288" w:after="0"/>
        <w:jc w:val="both"/>
        <w:rPr>
          <w:color w:val="111111"/>
        </w:rPr>
      </w:pPr>
      <w:r>
        <w:rPr>
          <w:rFonts w:cs="Times New Roman" w:ascii="Times New Roman" w:hAnsi="Times New Roman"/>
          <w:color w:val="111111"/>
          <w:sz w:val="24"/>
          <w:szCs w:val="24"/>
        </w:rPr>
        <w:t xml:space="preserve">CLÁUSULA SEGUNDA – </w:t>
      </w:r>
      <w:r>
        <w:rPr>
          <w:rFonts w:cs="Times New Roman" w:ascii="Times New Roman" w:hAnsi="Times New Roman"/>
          <w:color w:val="111111"/>
          <w:sz w:val="24"/>
          <w:szCs w:val="24"/>
        </w:rPr>
        <w:t xml:space="preserve">DO REGIME DE EXECUÇÃO </w:t>
      </w:r>
    </w:p>
    <w:p>
      <w:pPr>
        <w:pStyle w:val="Normal"/>
        <w:spacing w:before="288" w:after="0"/>
        <w:ind w:firstLine="1985"/>
        <w:jc w:val="both"/>
        <w:rPr>
          <w:color w:val="111111"/>
        </w:rPr>
      </w:pPr>
      <w:r>
        <w:rPr>
          <w:rFonts w:cs="Times New Roman" w:ascii="Times New Roman" w:hAnsi="Times New Roman"/>
          <w:color w:val="111111"/>
          <w:sz w:val="24"/>
          <w:szCs w:val="24"/>
        </w:rPr>
        <w:t xml:space="preserve">2.1. O Contrato será executado sob o regime de </w:t>
      </w:r>
      <w:r>
        <w:rPr>
          <w:rFonts w:cs="Times New Roman" w:ascii="Times New Roman" w:hAnsi="Times New Roman"/>
          <w:color w:val="111111"/>
          <w:sz w:val="24"/>
          <w:szCs w:val="24"/>
        </w:rPr>
        <w:t>empreitada por preço global, nos termos do art. 6º, XXIX,</w:t>
      </w:r>
      <w:r>
        <w:rPr>
          <w:rFonts w:cs="Times New Roman" w:ascii="Times New Roman" w:hAnsi="Times New Roman"/>
          <w:color w:val="111111"/>
          <w:sz w:val="24"/>
          <w:szCs w:val="24"/>
        </w:rPr>
        <w:t xml:space="preserve"> da Lei n.º 14.133/2021.</w:t>
      </w:r>
    </w:p>
    <w:p>
      <w:pPr>
        <w:pStyle w:val="Normal"/>
        <w:spacing w:before="288" w:after="0"/>
        <w:jc w:val="both"/>
        <w:rPr>
          <w:color w:val="111111"/>
        </w:rPr>
      </w:pPr>
      <w:r>
        <w:rPr>
          <w:rFonts w:cs="Times New Roman" w:ascii="Times New Roman" w:hAnsi="Times New Roman"/>
          <w:color w:val="111111"/>
          <w:sz w:val="24"/>
          <w:szCs w:val="24"/>
        </w:rPr>
        <w:t>CLÁUSULA TERCEIRA – DO VALOR</w:t>
      </w:r>
    </w:p>
    <w:p>
      <w:pPr>
        <w:pStyle w:val="Normal"/>
        <w:spacing w:before="288" w:after="0"/>
        <w:ind w:firstLine="1985"/>
        <w:jc w:val="both"/>
        <w:rPr>
          <w:color w:val="111111"/>
        </w:rPr>
      </w:pPr>
      <w:r>
        <w:rPr>
          <w:rFonts w:cs="Times New Roman" w:ascii="Times New Roman" w:hAnsi="Times New Roman"/>
          <w:color w:val="111111"/>
          <w:sz w:val="24"/>
          <w:szCs w:val="24"/>
        </w:rPr>
        <w:t xml:space="preserve">3.1. </w:t>
      </w:r>
      <w:r>
        <w:rPr>
          <w:rFonts w:cs="Times New Roman" w:ascii="Times New Roman" w:hAnsi="Times New Roman"/>
          <w:color w:val="111111"/>
          <w:sz w:val="24"/>
          <w:szCs w:val="24"/>
        </w:rPr>
        <w:t xml:space="preserve">O </w:t>
      </w:r>
      <w:r>
        <w:rPr>
          <w:rFonts w:cs="Times New Roman" w:ascii="Times New Roman" w:hAnsi="Times New Roman"/>
          <w:b/>
          <w:bCs/>
          <w:color w:val="111111"/>
          <w:sz w:val="24"/>
          <w:szCs w:val="24"/>
        </w:rPr>
        <w:t>valor total</w:t>
      </w:r>
      <w:r>
        <w:rPr>
          <w:rFonts w:cs="Times New Roman" w:ascii="Times New Roman" w:hAnsi="Times New Roman"/>
          <w:color w:val="111111"/>
          <w:sz w:val="24"/>
          <w:szCs w:val="24"/>
        </w:rPr>
        <w:t xml:space="preserve"> do contrato é de </w:t>
      </w:r>
      <w:r>
        <w:rPr>
          <w:rFonts w:cs="Times New Roman" w:ascii="Times New Roman" w:hAnsi="Times New Roman"/>
          <w:b/>
          <w:bCs/>
          <w:color w:val="111111"/>
          <w:sz w:val="24"/>
          <w:szCs w:val="24"/>
        </w:rPr>
        <w:t>R$ ___,__ (valor por extenso),</w:t>
      </w:r>
      <w:r>
        <w:rPr>
          <w:rFonts w:cs="Times New Roman" w:ascii="Times New Roman" w:hAnsi="Times New Roman"/>
          <w:color w:val="111111"/>
          <w:sz w:val="24"/>
          <w:szCs w:val="24"/>
        </w:rPr>
        <w:t xml:space="preserve"> a ser desembolsado de acordo com o cronograma físico-financeiro</w:t>
      </w:r>
      <w:r>
        <w:rPr>
          <w:rFonts w:cs="Times New Roman" w:ascii="Times New Roman" w:hAnsi="Times New Roman"/>
          <w:b/>
          <w:bCs/>
          <w:color w:val="111111"/>
          <w:sz w:val="24"/>
          <w:szCs w:val="24"/>
        </w:rPr>
        <w:t>.</w:t>
      </w:r>
    </w:p>
    <w:p>
      <w:pPr>
        <w:pStyle w:val="Normal"/>
        <w:spacing w:before="288" w:after="0"/>
        <w:ind w:firstLine="1985"/>
        <w:jc w:val="both"/>
        <w:rPr>
          <w:color w:val="111111"/>
        </w:rPr>
      </w:pPr>
      <w:r>
        <w:rPr>
          <w:rFonts w:cs="Times New Roman" w:ascii="Times New Roman" w:hAnsi="Times New Roman"/>
          <w:color w:val="111111"/>
          <w:sz w:val="24"/>
          <w:szCs w:val="24"/>
        </w:rPr>
        <w:t>3.1.1. No valor disposto na subcláusula 3.1. estão incluídos, além do objeto contratado, os encargos sociais, previdenciários, trabalhistas, fiscais e comerciais, bem como demais encargos incidentes, os tributos (impostos, taxas, emolumentos, contribuições fiscais e parafiscais, etc.), o fornecimento de mão de obra especializada, materiais, a administração, o lucro e deslocamentos de qualquer natureza, bem como qualquer outra despesa, ainda que não especificada e que possa incidir ou ser necessária à execução do objeto.</w:t>
      </w:r>
    </w:p>
    <w:p>
      <w:pPr>
        <w:pStyle w:val="Normal"/>
        <w:spacing w:before="288" w:after="0"/>
        <w:ind w:firstLine="1985"/>
        <w:jc w:val="both"/>
        <w:rPr>
          <w:color w:val="111111"/>
        </w:rPr>
      </w:pPr>
      <w:r>
        <w:rPr>
          <w:rFonts w:cs="Times New Roman" w:ascii="Times New Roman" w:hAnsi="Times New Roman"/>
          <w:color w:val="111111"/>
          <w:sz w:val="24"/>
          <w:szCs w:val="24"/>
        </w:rPr>
        <w:t>3.2. Tabela de Valores:</w:t>
      </w:r>
    </w:p>
    <w:tbl>
      <w:tblPr>
        <w:tblW w:w="8115" w:type="dxa"/>
        <w:jc w:val="start"/>
        <w:tblInd w:w="0" w:type="dxa"/>
        <w:tblLayout w:type="fixed"/>
        <w:tblCellMar>
          <w:top w:w="0" w:type="dxa"/>
          <w:start w:w="100" w:type="dxa"/>
          <w:bottom w:w="0" w:type="dxa"/>
          <w:end w:w="100" w:type="dxa"/>
        </w:tblCellMar>
        <w:tblLook w:val="0600" w:firstRow="0" w:noVBand="1" w:lastRow="0" w:firstColumn="0" w:lastColumn="0" w:noHBand="1"/>
      </w:tblPr>
      <w:tblGrid>
        <w:gridCol w:w="825"/>
        <w:gridCol w:w="4456"/>
        <w:gridCol w:w="1417"/>
        <w:gridCol w:w="1417"/>
      </w:tblGrid>
      <w:tr>
        <w:trPr>
          <w:trHeight w:val="795" w:hRule="atLeast"/>
        </w:trPr>
        <w:tc>
          <w:tcPr>
            <w:tcW w:w="825" w:type="dxa"/>
            <w:tcBorders>
              <w:top w:val="single" w:sz="6" w:space="0" w:color="000000"/>
              <w:start w:val="single" w:sz="6" w:space="0" w:color="000000"/>
              <w:bottom w:val="single" w:sz="6" w:space="0" w:color="000000"/>
              <w:end w:val="single" w:sz="6" w:space="0" w:color="000000"/>
            </w:tcBorders>
            <w:shd w:color="auto" w:fill="F2F2F2" w:val="clear"/>
            <w:vAlign w:val="center"/>
          </w:tcPr>
          <w:p>
            <w:pPr>
              <w:pStyle w:val="Normal"/>
              <w:spacing w:before="288" w:after="0"/>
              <w:jc w:val="both"/>
              <w:rPr>
                <w:color w:val="111111"/>
              </w:rPr>
            </w:pPr>
            <w:r>
              <w:rPr>
                <w:rFonts w:cs="Times New Roman" w:ascii="Times New Roman" w:hAnsi="Times New Roman"/>
                <w:b/>
                <w:bCs/>
                <w:color w:val="111111"/>
                <w:sz w:val="24"/>
                <w:szCs w:val="24"/>
              </w:rPr>
              <w:t>Lote /Item</w:t>
            </w:r>
          </w:p>
        </w:tc>
        <w:tc>
          <w:tcPr>
            <w:tcW w:w="4456" w:type="dxa"/>
            <w:tcBorders>
              <w:top w:val="single" w:sz="6" w:space="0" w:color="000000"/>
              <w:bottom w:val="single" w:sz="6" w:space="0" w:color="000000"/>
              <w:end w:val="single" w:sz="6" w:space="0" w:color="000000"/>
            </w:tcBorders>
            <w:shd w:color="auto" w:fill="F2F2F2" w:val="clear"/>
            <w:vAlign w:val="center"/>
          </w:tcPr>
          <w:p>
            <w:pPr>
              <w:pStyle w:val="Normal"/>
              <w:spacing w:before="288" w:after="0"/>
              <w:jc w:val="both"/>
              <w:rPr>
                <w:color w:val="111111"/>
              </w:rPr>
            </w:pPr>
            <w:r>
              <w:rPr>
                <w:rFonts w:cs="Times New Roman" w:ascii="Times New Roman" w:hAnsi="Times New Roman"/>
                <w:b/>
                <w:bCs/>
                <w:color w:val="111111"/>
                <w:sz w:val="24"/>
                <w:szCs w:val="24"/>
              </w:rPr>
              <w:t>Descrição/Especificação</w:t>
            </w:r>
          </w:p>
        </w:tc>
        <w:tc>
          <w:tcPr>
            <w:tcW w:w="1417" w:type="dxa"/>
            <w:tcBorders>
              <w:top w:val="single" w:sz="6" w:space="0" w:color="000000"/>
              <w:bottom w:val="single" w:sz="6" w:space="0" w:color="000000"/>
              <w:end w:val="single" w:sz="6" w:space="0" w:color="000000"/>
            </w:tcBorders>
            <w:shd w:color="auto" w:fill="F2F2F2" w:val="clear"/>
            <w:vAlign w:val="center"/>
          </w:tcPr>
          <w:p>
            <w:pPr>
              <w:pStyle w:val="Normal"/>
              <w:spacing w:before="288" w:after="0"/>
              <w:jc w:val="both"/>
              <w:rPr>
                <w:color w:val="111111"/>
              </w:rPr>
            </w:pPr>
            <w:r>
              <w:rPr>
                <w:rFonts w:cs="Times New Roman" w:ascii="Times New Roman" w:hAnsi="Times New Roman"/>
                <w:b/>
                <w:bCs/>
                <w:color w:val="111111"/>
                <w:sz w:val="24"/>
                <w:szCs w:val="24"/>
              </w:rPr>
              <w:t>Valor unit. (R$)</w:t>
            </w:r>
          </w:p>
        </w:tc>
        <w:tc>
          <w:tcPr>
            <w:tcW w:w="1417" w:type="dxa"/>
            <w:tcBorders>
              <w:top w:val="single" w:sz="6" w:space="0" w:color="000000"/>
              <w:bottom w:val="single" w:sz="6" w:space="0" w:color="000000"/>
              <w:end w:val="single" w:sz="6" w:space="0" w:color="000000"/>
            </w:tcBorders>
            <w:shd w:color="auto" w:fill="F2F2F2" w:val="clear"/>
            <w:vAlign w:val="center"/>
          </w:tcPr>
          <w:p>
            <w:pPr>
              <w:pStyle w:val="Normal"/>
              <w:spacing w:before="288" w:after="0"/>
              <w:jc w:val="both"/>
              <w:rPr>
                <w:color w:val="111111"/>
              </w:rPr>
            </w:pPr>
            <w:r>
              <w:rPr>
                <w:rFonts w:cs="Times New Roman" w:ascii="Times New Roman" w:hAnsi="Times New Roman"/>
                <w:b/>
                <w:bCs/>
                <w:color w:val="111111"/>
                <w:sz w:val="24"/>
                <w:szCs w:val="24"/>
              </w:rPr>
              <w:t>Valor total (R$)</w:t>
            </w:r>
          </w:p>
        </w:tc>
      </w:tr>
      <w:tr>
        <w:trPr>
          <w:trHeight w:val="570" w:hRule="atLeast"/>
        </w:trPr>
        <w:tc>
          <w:tcPr>
            <w:tcW w:w="825" w:type="dxa"/>
            <w:tcBorders>
              <w:start w:val="single" w:sz="6" w:space="0" w:color="000000"/>
              <w:bottom w:val="single" w:sz="6" w:space="0" w:color="000000"/>
              <w:end w:val="single" w:sz="6" w:space="0" w:color="000000"/>
            </w:tcBorders>
            <w:vAlign w:val="center"/>
          </w:tcPr>
          <w:p>
            <w:pPr>
              <w:pStyle w:val="Normal"/>
              <w:spacing w:before="200" w:after="280"/>
              <w:jc w:val="both"/>
              <w:rPr>
                <w:color w:val="111111"/>
              </w:rPr>
            </w:pPr>
            <w:r>
              <w:rPr>
                <w:rFonts w:cs="Times New Roman" w:ascii="Times New Roman" w:hAnsi="Times New Roman"/>
                <w:color w:val="111111"/>
                <w:sz w:val="24"/>
                <w:szCs w:val="24"/>
              </w:rPr>
              <w:t>1</w:t>
            </w:r>
          </w:p>
        </w:tc>
        <w:tc>
          <w:tcPr>
            <w:tcW w:w="4456" w:type="dxa"/>
            <w:tcBorders>
              <w:bottom w:val="single" w:sz="6" w:space="0" w:color="000000"/>
              <w:end w:val="single" w:sz="6" w:space="0" w:color="000000"/>
            </w:tcBorders>
            <w:vAlign w:val="center"/>
          </w:tcPr>
          <w:p>
            <w:pPr>
              <w:pStyle w:val="Normal"/>
              <w:spacing w:before="288" w:after="0"/>
              <w:jc w:val="both"/>
              <w:rPr>
                <w:color w:val="111111"/>
              </w:rPr>
            </w:pPr>
            <w:r>
              <w:rPr>
                <w:rFonts w:cs="Times New Roman" w:ascii="Times New Roman" w:hAnsi="Times New Roman"/>
                <w:color w:val="111111"/>
                <w:sz w:val="24"/>
                <w:szCs w:val="24"/>
              </w:rPr>
              <w:t>Execução de subestação de 112,5kVA, conforme projeto aprovado pela RGE.</w:t>
            </w:r>
          </w:p>
        </w:tc>
        <w:tc>
          <w:tcPr>
            <w:tcW w:w="1417" w:type="dxa"/>
            <w:tcBorders>
              <w:bottom w:val="single" w:sz="6" w:space="0" w:color="000000"/>
              <w:end w:val="single" w:sz="6" w:space="0" w:color="000000"/>
            </w:tcBorders>
            <w:vAlign w:val="center"/>
          </w:tcPr>
          <w:p>
            <w:pPr>
              <w:pStyle w:val="Normal"/>
              <w:spacing w:before="288" w:after="0"/>
              <w:jc w:val="both"/>
              <w:rPr>
                <w:color w:val="111111"/>
              </w:rPr>
            </w:pPr>
            <w:r>
              <w:rPr>
                <w:rFonts w:cs="Times New Roman" w:ascii="Times New Roman" w:hAnsi="Times New Roman"/>
                <w:color w:val="111111"/>
                <w:sz w:val="24"/>
                <w:szCs w:val="24"/>
              </w:rPr>
              <w:t>$</w:t>
            </w:r>
          </w:p>
        </w:tc>
        <w:tc>
          <w:tcPr>
            <w:tcW w:w="1417" w:type="dxa"/>
            <w:tcBorders>
              <w:bottom w:val="single" w:sz="6" w:space="0" w:color="000000"/>
              <w:end w:val="single" w:sz="6" w:space="0" w:color="000000"/>
            </w:tcBorders>
            <w:vAlign w:val="center"/>
          </w:tcPr>
          <w:p>
            <w:pPr>
              <w:pStyle w:val="Normal"/>
              <w:spacing w:before="288" w:after="0"/>
              <w:jc w:val="both"/>
              <w:rPr>
                <w:color w:val="111111"/>
              </w:rPr>
            </w:pPr>
            <w:r>
              <w:rPr>
                <w:rFonts w:cs="Times New Roman" w:ascii="Times New Roman" w:hAnsi="Times New Roman"/>
                <w:color w:val="111111"/>
                <w:sz w:val="24"/>
                <w:szCs w:val="24"/>
              </w:rPr>
              <w:t>$</w:t>
            </w:r>
          </w:p>
        </w:tc>
      </w:tr>
      <w:tr>
        <w:trPr>
          <w:trHeight w:val="570" w:hRule="atLeast"/>
        </w:trPr>
        <w:tc>
          <w:tcPr>
            <w:tcW w:w="6698" w:type="dxa"/>
            <w:gridSpan w:val="3"/>
            <w:tcBorders>
              <w:start w:val="single" w:sz="6" w:space="0" w:color="000000"/>
              <w:bottom w:val="single" w:sz="6" w:space="0" w:color="000000"/>
              <w:end w:val="single" w:sz="6" w:space="0" w:color="000000"/>
            </w:tcBorders>
            <w:vAlign w:val="center"/>
          </w:tcPr>
          <w:p>
            <w:pPr>
              <w:pStyle w:val="Normal"/>
              <w:spacing w:before="288" w:after="0"/>
              <w:jc w:val="both"/>
              <w:rPr>
                <w:color w:val="111111"/>
              </w:rPr>
            </w:pPr>
            <w:r>
              <w:rPr>
                <w:rFonts w:cs="Times New Roman" w:ascii="Times New Roman" w:hAnsi="Times New Roman"/>
                <w:b/>
                <w:bCs/>
                <w:color w:val="111111"/>
                <w:sz w:val="24"/>
                <w:szCs w:val="24"/>
              </w:rPr>
              <w:t>VALOR TOTAL DA CONTRATAÇÃO (R$)</w:t>
            </w:r>
          </w:p>
        </w:tc>
        <w:tc>
          <w:tcPr>
            <w:tcW w:w="1417" w:type="dxa"/>
            <w:tcBorders>
              <w:bottom w:val="single" w:sz="6" w:space="0" w:color="000000"/>
              <w:end w:val="single" w:sz="6" w:space="0" w:color="000000"/>
            </w:tcBorders>
            <w:shd w:color="auto" w:fill="auto" w:val="clear"/>
            <w:vAlign w:val="center"/>
          </w:tcPr>
          <w:p>
            <w:pPr>
              <w:pStyle w:val="Normal"/>
              <w:spacing w:before="288" w:after="0"/>
              <w:jc w:val="both"/>
              <w:rPr>
                <w:color w:val="111111"/>
              </w:rPr>
            </w:pPr>
            <w:bookmarkStart w:id="6" w:name="_heading=h.k6vgdts4s31r"/>
            <w:bookmarkEnd w:id="6"/>
            <w:r>
              <w:rPr>
                <w:rFonts w:cs="Times New Roman" w:ascii="Times New Roman" w:hAnsi="Times New Roman"/>
                <w:b/>
                <w:bCs/>
                <w:color w:val="111111"/>
                <w:sz w:val="24"/>
                <w:szCs w:val="24"/>
              </w:rPr>
              <w:t>$</w:t>
            </w:r>
          </w:p>
        </w:tc>
      </w:tr>
    </w:tbl>
    <w:p>
      <w:pPr>
        <w:pStyle w:val="Normal"/>
        <w:shd w:val="clear" w:color="auto" w:fill="FFFFFF"/>
        <w:spacing w:before="288" w:after="0"/>
        <w:ind w:firstLine="1985"/>
        <w:jc w:val="both"/>
        <w:rPr>
          <w:color w:val="111111"/>
        </w:rPr>
      </w:pPr>
      <w:r>
        <w:rPr>
          <w:rFonts w:cs="Times New Roman" w:ascii="Times New Roman" w:hAnsi="Times New Roman"/>
          <w:color w:val="111111"/>
          <w:sz w:val="24"/>
          <w:szCs w:val="24"/>
        </w:rPr>
        <w:t xml:space="preserve">3.3. Nos casos de </w:t>
      </w:r>
      <w:r>
        <w:rPr>
          <w:rFonts w:cs="Times New Roman" w:ascii="Times New Roman" w:hAnsi="Times New Roman"/>
          <w:b/>
          <w:bCs/>
          <w:color w:val="111111"/>
          <w:sz w:val="24"/>
          <w:szCs w:val="24"/>
        </w:rPr>
        <w:t>reequilíbrio econômico-financeiro</w:t>
      </w:r>
      <w:r>
        <w:rPr>
          <w:rFonts w:cs="Times New Roman" w:ascii="Times New Roman" w:hAnsi="Times New Roman"/>
          <w:color w:val="111111"/>
          <w:sz w:val="24"/>
          <w:szCs w:val="24"/>
        </w:rPr>
        <w:t xml:space="preserve"> do Contrato, a CONTRATADA deverá apresentar em seu pedido os documentos comprobatórios para a solicitação, devendo obrigatoriamente apresentar minimamente os seguintes documentos:</w:t>
      </w:r>
    </w:p>
    <w:p>
      <w:pPr>
        <w:pStyle w:val="Normal"/>
        <w:spacing w:before="288" w:after="0"/>
        <w:ind w:firstLine="1985"/>
        <w:jc w:val="both"/>
        <w:rPr>
          <w:color w:val="111111"/>
        </w:rPr>
      </w:pPr>
      <w:r>
        <w:rPr>
          <w:rFonts w:cs="Times New Roman" w:ascii="Times New Roman" w:hAnsi="Times New Roman"/>
          <w:color w:val="111111"/>
          <w:sz w:val="24"/>
          <w:szCs w:val="24"/>
        </w:rPr>
        <w:t>a) Planilha de valores ou documentação equivalente contendo os custos de cada item da proposta inicial e os valores de cada item reequilibrados.</w:t>
      </w:r>
    </w:p>
    <w:p>
      <w:pPr>
        <w:pStyle w:val="Normal"/>
        <w:spacing w:before="288" w:after="0"/>
        <w:ind w:firstLine="1985"/>
        <w:jc w:val="both"/>
        <w:rPr>
          <w:color w:val="111111"/>
        </w:rPr>
      </w:pPr>
      <w:r>
        <w:rPr>
          <w:rFonts w:cs="Times New Roman" w:ascii="Times New Roman" w:hAnsi="Times New Roman"/>
          <w:color w:val="111111"/>
          <w:sz w:val="24"/>
          <w:szCs w:val="24"/>
        </w:rPr>
        <w:t>b) Documento que demonstre que o desequilíbrio dos valores são fatos alheios à vontade e supervenientes.</w:t>
      </w:r>
    </w:p>
    <w:p>
      <w:pPr>
        <w:pStyle w:val="Normal"/>
        <w:spacing w:before="288" w:after="0"/>
        <w:ind w:firstLine="1985"/>
        <w:jc w:val="both"/>
        <w:rPr>
          <w:color w:val="111111"/>
        </w:rPr>
      </w:pPr>
      <w:r>
        <w:rPr>
          <w:rFonts w:cs="Times New Roman" w:ascii="Times New Roman" w:hAnsi="Times New Roman"/>
          <w:color w:val="111111"/>
          <w:sz w:val="24"/>
          <w:szCs w:val="24"/>
        </w:rPr>
        <w:t>c) Comprovação que o desequilíbrio ocorre de fato imprevisível ou previsível, porém de consequências incalculáveis, desde que, seja apresentado todos os documentos que comprovem a ocorrência do evento.</w:t>
      </w:r>
    </w:p>
    <w:p>
      <w:pPr>
        <w:pStyle w:val="Normal"/>
        <w:spacing w:before="288" w:after="0"/>
        <w:ind w:firstLine="1985"/>
        <w:jc w:val="both"/>
        <w:rPr>
          <w:color w:val="111111"/>
        </w:rPr>
      </w:pPr>
      <w:r>
        <w:rPr>
          <w:rFonts w:cs="Times New Roman" w:ascii="Times New Roman" w:hAnsi="Times New Roman"/>
          <w:color w:val="111111"/>
          <w:sz w:val="24"/>
          <w:szCs w:val="24"/>
        </w:rPr>
        <w:t>d) Comprovação da variação cambial, tributária e/ou dos preços de cada item mediante apresentação de notas fiscais, documentos de importação, orçamentos e outros.</w:t>
      </w:r>
    </w:p>
    <w:p>
      <w:pPr>
        <w:pStyle w:val="Normal"/>
        <w:spacing w:before="288" w:after="0"/>
        <w:ind w:firstLine="1985"/>
        <w:jc w:val="both"/>
        <w:rPr>
          <w:color w:val="111111"/>
        </w:rPr>
      </w:pPr>
      <w:r>
        <w:rPr>
          <w:rFonts w:cs="Times New Roman" w:ascii="Times New Roman" w:hAnsi="Times New Roman"/>
          <w:color w:val="111111"/>
          <w:sz w:val="24"/>
          <w:szCs w:val="24"/>
        </w:rPr>
        <w:t>e) Vínculo de causalidade entre o evento ocorrido e a majoração dos encargos do particular.</w:t>
      </w:r>
    </w:p>
    <w:p>
      <w:pPr>
        <w:pStyle w:val="Normal"/>
        <w:spacing w:before="288" w:after="0"/>
        <w:ind w:firstLine="1985"/>
        <w:jc w:val="both"/>
        <w:rPr>
          <w:color w:val="111111"/>
        </w:rPr>
      </w:pPr>
      <w:r>
        <w:rPr>
          <w:rFonts w:cs="Times New Roman" w:ascii="Times New Roman" w:hAnsi="Times New Roman"/>
          <w:color w:val="111111"/>
          <w:sz w:val="24"/>
          <w:szCs w:val="24"/>
        </w:rPr>
        <w:t>f) Memória de cálculo em conformidade com a variação dos preços.</w:t>
      </w:r>
    </w:p>
    <w:p>
      <w:pPr>
        <w:pStyle w:val="Normal"/>
        <w:spacing w:before="288" w:after="0"/>
        <w:ind w:firstLine="1985"/>
        <w:jc w:val="both"/>
        <w:rPr>
          <w:color w:val="111111"/>
        </w:rPr>
      </w:pPr>
      <w:r>
        <w:rPr>
          <w:rFonts w:cs="Times New Roman" w:ascii="Times New Roman" w:hAnsi="Times New Roman"/>
          <w:color w:val="111111"/>
          <w:sz w:val="24"/>
          <w:szCs w:val="24"/>
        </w:rPr>
        <w:t>g) Cópia do Contrato e Termos aditivos quando houver.</w:t>
      </w:r>
    </w:p>
    <w:p>
      <w:pPr>
        <w:pStyle w:val="Normal"/>
        <w:spacing w:before="288" w:after="0"/>
        <w:ind w:firstLine="1985"/>
        <w:jc w:val="both"/>
        <w:rPr>
          <w:color w:val="111111"/>
        </w:rPr>
      </w:pPr>
      <w:r>
        <w:rPr>
          <w:rFonts w:cs="Times New Roman" w:ascii="Times New Roman" w:hAnsi="Times New Roman"/>
          <w:color w:val="111111"/>
          <w:sz w:val="24"/>
          <w:szCs w:val="24"/>
        </w:rPr>
        <w:t>3.4. A CONTRATANTE pode, de forma facultativa, caso não comprovado pelo CONTRATADA, calcular o reequilíbrio a contar da data de protocolo do pedido.</w:t>
      </w:r>
    </w:p>
    <w:p>
      <w:pPr>
        <w:pStyle w:val="Normal"/>
        <w:spacing w:before="288" w:after="0"/>
        <w:ind w:firstLine="1985"/>
        <w:jc w:val="both"/>
        <w:rPr>
          <w:color w:val="111111"/>
        </w:rPr>
      </w:pPr>
      <w:r>
        <w:rPr>
          <w:rFonts w:cs="Times New Roman" w:ascii="Times New Roman" w:hAnsi="Times New Roman"/>
          <w:color w:val="111111"/>
          <w:sz w:val="24"/>
          <w:szCs w:val="24"/>
        </w:rPr>
        <w:t xml:space="preserve">3.5. O CONTRATANTE terá o prazo de </w:t>
      </w:r>
      <w:r>
        <w:rPr>
          <w:rFonts w:cs="Times New Roman" w:ascii="Times New Roman" w:hAnsi="Times New Roman"/>
          <w:b/>
          <w:bCs/>
          <w:color w:val="111111"/>
          <w:sz w:val="24"/>
          <w:szCs w:val="24"/>
        </w:rPr>
        <w:t>até 90 dias consecutivos</w:t>
      </w:r>
      <w:r>
        <w:rPr>
          <w:rFonts w:cs="Times New Roman" w:ascii="Times New Roman" w:hAnsi="Times New Roman"/>
          <w:color w:val="111111"/>
          <w:sz w:val="24"/>
          <w:szCs w:val="24"/>
        </w:rPr>
        <w:t xml:space="preserve"> para responder eventuais pedidos de reestabelecimento do equilíbrio econômico-financeiro feitos pela CONTRATADA, a contar da data de abertura da solicitação.</w:t>
      </w:r>
    </w:p>
    <w:p>
      <w:pPr>
        <w:pStyle w:val="Normal"/>
        <w:spacing w:before="288" w:after="0"/>
        <w:jc w:val="both"/>
        <w:rPr>
          <w:color w:val="111111"/>
        </w:rPr>
      </w:pPr>
      <w:r>
        <w:rPr>
          <w:rFonts w:cs="Times New Roman" w:ascii="Times New Roman" w:hAnsi="Times New Roman"/>
          <w:color w:val="111111"/>
          <w:sz w:val="24"/>
          <w:szCs w:val="24"/>
        </w:rPr>
        <w:t>CLÁUSULA QUARTA – DO REAJUSTE</w:t>
      </w:r>
    </w:p>
    <w:p>
      <w:pPr>
        <w:pStyle w:val="Normal"/>
        <w:shd w:val="clear" w:color="auto" w:fill="FFFFFF"/>
        <w:spacing w:before="288" w:after="0"/>
        <w:ind w:firstLine="1985"/>
        <w:jc w:val="both"/>
        <w:rPr>
          <w:color w:val="111111"/>
        </w:rPr>
      </w:pPr>
      <w:r>
        <w:rPr>
          <w:rFonts w:cs="Times New Roman" w:ascii="Times New Roman" w:hAnsi="Times New Roman"/>
          <w:color w:val="111111"/>
          <w:sz w:val="24"/>
          <w:szCs w:val="24"/>
        </w:rPr>
        <w:t>4.1. Os preços inicialmente contratados são fixos e irreajustáveis no prazo de 12 (doze) meses, contados da data do orçamento estimado pela Administração, nos termos do art. 92, §3º, da Lei n.º 14.133/2021.</w:t>
      </w:r>
    </w:p>
    <w:p>
      <w:pPr>
        <w:pStyle w:val="Normal"/>
        <w:shd w:val="clear" w:color="auto" w:fill="FFFFFF"/>
        <w:spacing w:before="288" w:after="0"/>
        <w:ind w:firstLine="1985"/>
        <w:jc w:val="both"/>
        <w:rPr>
          <w:color w:val="111111"/>
        </w:rPr>
      </w:pPr>
      <w:r>
        <w:rPr>
          <w:rFonts w:cs="Times New Roman" w:ascii="Times New Roman" w:hAnsi="Times New Roman"/>
          <w:color w:val="111111"/>
          <w:sz w:val="24"/>
          <w:szCs w:val="24"/>
        </w:rPr>
        <w:t>4.1.1. Após o prazo inicial de 12 (doze) meses do subitem anterior, os preços iniciais poderão ser reajustados, mediante a aplicação, pela CONTRATANTE,</w:t>
      </w:r>
      <w:r>
        <w:rPr>
          <w:rFonts w:cs="Times New Roman" w:ascii="Times New Roman" w:hAnsi="Times New Roman"/>
          <w:color w:val="111111"/>
          <w:sz w:val="24"/>
          <w:szCs w:val="24"/>
        </w:rPr>
        <w:t xml:space="preserve"> do Sistema Nacional de Pesquisa de Custos e Índices da Construção Civil - SINAPI</w:t>
      </w:r>
      <w:r>
        <w:rPr>
          <w:rFonts w:cs="Times New Roman" w:ascii="Times New Roman" w:hAnsi="Times New Roman"/>
          <w:color w:val="111111"/>
          <w:sz w:val="24"/>
          <w:szCs w:val="24"/>
        </w:rPr>
        <w:t>, exclusivamente para as obrigações iniciadas e concluídas após a ocorrência da anualidade.</w:t>
      </w:r>
    </w:p>
    <w:p>
      <w:pPr>
        <w:pStyle w:val="Normal"/>
        <w:shd w:val="clear" w:color="auto" w:fill="FFFFFF"/>
        <w:spacing w:before="288" w:after="0"/>
        <w:ind w:firstLine="1985"/>
        <w:jc w:val="both"/>
        <w:rPr>
          <w:color w:val="111111"/>
        </w:rPr>
      </w:pPr>
      <w:r>
        <w:rPr>
          <w:rFonts w:cs="Times New Roman" w:ascii="Times New Roman" w:hAnsi="Times New Roman"/>
          <w:color w:val="111111"/>
          <w:sz w:val="24"/>
          <w:szCs w:val="24"/>
        </w:rPr>
        <w:t>4.1.2. O reajuste deverá ser pleiteado em até 90 (noventa) dias após a ocorrência do lapso temporal que o autoriza, nos termos do subitem anterior, desde que ainda vigente o contrato.</w:t>
      </w:r>
    </w:p>
    <w:p>
      <w:pPr>
        <w:pStyle w:val="Normal"/>
        <w:shd w:val="clear" w:color="auto" w:fill="FFFFFF"/>
        <w:spacing w:before="288" w:after="0"/>
        <w:ind w:firstLine="1985"/>
        <w:jc w:val="both"/>
        <w:rPr>
          <w:color w:val="111111"/>
        </w:rPr>
      </w:pPr>
      <w:r>
        <w:rPr>
          <w:rFonts w:cs="Times New Roman" w:ascii="Times New Roman" w:hAnsi="Times New Roman"/>
          <w:color w:val="111111"/>
          <w:sz w:val="24"/>
          <w:szCs w:val="24"/>
        </w:rPr>
        <w:t>4.1.3. Não requerido o reajuste no prazo previsto no subitem anterior, haverá a renúncia tácita a este.</w:t>
      </w:r>
    </w:p>
    <w:p>
      <w:pPr>
        <w:pStyle w:val="Normal"/>
        <w:spacing w:before="288" w:after="0"/>
        <w:jc w:val="both"/>
        <w:rPr>
          <w:color w:val="111111"/>
        </w:rPr>
      </w:pPr>
      <w:r>
        <w:rPr>
          <w:rFonts w:cs="Times New Roman" w:ascii="Times New Roman" w:hAnsi="Times New Roman"/>
          <w:color w:val="111111"/>
          <w:sz w:val="24"/>
          <w:szCs w:val="24"/>
        </w:rPr>
        <w:t>CLÁUSULA QUINTA – DO PAGAMENTO</w:t>
      </w:r>
    </w:p>
    <w:p>
      <w:pPr>
        <w:pStyle w:val="Normal"/>
        <w:spacing w:before="288" w:after="0"/>
        <w:ind w:firstLine="1985"/>
        <w:jc w:val="both"/>
        <w:rPr>
          <w:color w:val="111111"/>
        </w:rPr>
      </w:pPr>
      <w:r>
        <w:rPr>
          <w:rFonts w:cs="Times New Roman" w:ascii="Times New Roman" w:hAnsi="Times New Roman"/>
          <w:color w:val="111111"/>
          <w:sz w:val="24"/>
          <w:szCs w:val="24"/>
        </w:rPr>
        <w:t>5.1. Para o efetivo pagamento a CONTRATADA estará sujeita ao cumprimento das disposições contidas no Decreto n.º 196/2018.</w:t>
      </w:r>
    </w:p>
    <w:p>
      <w:pPr>
        <w:pStyle w:val="Normal"/>
        <w:spacing w:before="288" w:after="0"/>
        <w:ind w:firstLine="1985"/>
        <w:jc w:val="both"/>
        <w:rPr>
          <w:color w:val="111111"/>
        </w:rPr>
      </w:pPr>
      <w:r>
        <w:rPr>
          <w:rFonts w:cs="Times New Roman" w:ascii="Times New Roman" w:hAnsi="Times New Roman"/>
          <w:color w:val="111111"/>
          <w:sz w:val="24"/>
          <w:szCs w:val="24"/>
        </w:rPr>
        <w:t>5.2. A Nota Fiscal / Fatura relativa a aquisição do objeto deverá ser apresentada junto a Unidade de Liquidação (UL) da Secretaria Municipal da Fazenda (SMF), conforme art. 11 do Decreto n.º 012/2013.</w:t>
      </w:r>
    </w:p>
    <w:p>
      <w:pPr>
        <w:pStyle w:val="Normal"/>
        <w:spacing w:before="288" w:after="0"/>
        <w:ind w:firstLine="1985"/>
        <w:jc w:val="both"/>
        <w:rPr>
          <w:color w:val="111111"/>
        </w:rPr>
      </w:pPr>
      <w:r>
        <w:rPr>
          <w:rFonts w:cs="Times New Roman" w:ascii="Times New Roman" w:hAnsi="Times New Roman"/>
          <w:color w:val="111111"/>
          <w:sz w:val="24"/>
          <w:szCs w:val="24"/>
        </w:rPr>
        <w:t>5.3. As Notas Fiscais/Faturas entregues não deverão portar vícios ou incorreções que impossibilitem ou atrasem o pagamento, hipótese em que a CONTRATADA suportará os ônus decorrentes do atraso.</w:t>
      </w:r>
    </w:p>
    <w:p>
      <w:pPr>
        <w:pStyle w:val="Normal"/>
        <w:spacing w:before="288" w:after="0"/>
        <w:ind w:firstLine="1985"/>
        <w:jc w:val="both"/>
        <w:rPr>
          <w:color w:val="111111"/>
        </w:rPr>
      </w:pPr>
      <w:r>
        <w:rPr>
          <w:rFonts w:cs="Times New Roman" w:ascii="Times New Roman" w:hAnsi="Times New Roman"/>
          <w:color w:val="111111"/>
          <w:sz w:val="24"/>
          <w:szCs w:val="24"/>
        </w:rPr>
        <w:t>5.4. O objeto será pago em até 30 (trinta) dias, a contar da data da entrega da nota fiscal/fatura na Unidade de Liquidação (UL) da Secretaria Municipal da Fazenda (SMF), que deverá ocorrer até o 5º (quinto) dia útil do mês subsequente ao da entrega do objeto, mediante apresentação de:</w:t>
      </w:r>
    </w:p>
    <w:p>
      <w:pPr>
        <w:pStyle w:val="Normal"/>
        <w:spacing w:before="288" w:after="0"/>
        <w:ind w:firstLine="1985"/>
        <w:jc w:val="both"/>
        <w:rPr>
          <w:color w:val="111111"/>
        </w:rPr>
      </w:pPr>
      <w:r>
        <w:rPr>
          <w:rFonts w:cs="Times New Roman" w:ascii="Times New Roman" w:hAnsi="Times New Roman"/>
          <w:color w:val="111111"/>
          <w:sz w:val="24"/>
          <w:szCs w:val="24"/>
        </w:rPr>
        <w:t>5.4.1. Nota fiscal/ fatura;</w:t>
      </w:r>
    </w:p>
    <w:p>
      <w:pPr>
        <w:pStyle w:val="Normal"/>
        <w:spacing w:before="288" w:after="0"/>
        <w:ind w:firstLine="1985"/>
        <w:jc w:val="both"/>
        <w:rPr>
          <w:color w:val="111111"/>
        </w:rPr>
      </w:pPr>
      <w:r>
        <w:rPr>
          <w:rFonts w:cs="Times New Roman" w:ascii="Times New Roman" w:hAnsi="Times New Roman"/>
          <w:color w:val="111111"/>
          <w:sz w:val="24"/>
          <w:szCs w:val="24"/>
        </w:rPr>
        <w:t>5.4.2. Termo de fiscalização aprovado e emitido pela secretaria municipal responsável, conforme determina o Decreto n.º 196/2018.</w:t>
      </w:r>
    </w:p>
    <w:p>
      <w:pPr>
        <w:pStyle w:val="Normal"/>
        <w:spacing w:before="288" w:after="0"/>
        <w:ind w:firstLine="1985"/>
        <w:jc w:val="both"/>
        <w:rPr>
          <w:color w:val="111111"/>
        </w:rPr>
      </w:pPr>
      <w:r>
        <w:rPr>
          <w:rFonts w:cs="Times New Roman" w:ascii="Times New Roman" w:hAnsi="Times New Roman"/>
          <w:color w:val="111111"/>
          <w:sz w:val="24"/>
          <w:szCs w:val="24"/>
        </w:rPr>
        <w:t>5.5. Em caso de atraso pelo contratante, os valores devidos à contratada serão atualizados monetariamente entre o termo final do prazo de pagamento até a data de sua efetiva realização, mediante aplicação do índice nacional de preços ao consumidor amplo – IPCA.</w:t>
      </w:r>
    </w:p>
    <w:p>
      <w:pPr>
        <w:pStyle w:val="Normal"/>
        <w:spacing w:before="288" w:after="0"/>
        <w:jc w:val="both"/>
        <w:rPr>
          <w:color w:val="111111"/>
        </w:rPr>
      </w:pPr>
      <w:r>
        <w:rPr>
          <w:rFonts w:cs="Times New Roman" w:ascii="Times New Roman" w:hAnsi="Times New Roman"/>
          <w:color w:val="111111"/>
          <w:sz w:val="24"/>
          <w:szCs w:val="24"/>
        </w:rPr>
        <w:t>CLÁUSULA SEXTA – DOS PRAZOS</w:t>
      </w:r>
    </w:p>
    <w:p>
      <w:pPr>
        <w:pStyle w:val="Normal"/>
        <w:spacing w:before="288" w:after="0"/>
        <w:ind w:firstLine="1985"/>
        <w:jc w:val="both"/>
        <w:rPr>
          <w:color w:val="111111"/>
        </w:rPr>
      </w:pPr>
      <w:r>
        <w:rPr>
          <w:rFonts w:cs="Times New Roman" w:ascii="Times New Roman" w:hAnsi="Times New Roman"/>
          <w:color w:val="111111"/>
          <w:sz w:val="24"/>
          <w:szCs w:val="24"/>
        </w:rPr>
        <w:t xml:space="preserve">6.1. O prazo de </w:t>
      </w:r>
      <w:r>
        <w:rPr>
          <w:rFonts w:cs="Times New Roman" w:ascii="Times New Roman" w:hAnsi="Times New Roman"/>
          <w:color w:val="111111"/>
          <w:sz w:val="24"/>
          <w:szCs w:val="24"/>
          <w:u w:val="single"/>
        </w:rPr>
        <w:t>vigência</w:t>
      </w:r>
      <w:r>
        <w:rPr>
          <w:rFonts w:cs="Times New Roman" w:ascii="Times New Roman" w:hAnsi="Times New Roman"/>
          <w:color w:val="111111"/>
          <w:sz w:val="24"/>
          <w:szCs w:val="24"/>
        </w:rPr>
        <w:t xml:space="preserve"> do presente Contrato será de </w:t>
      </w:r>
      <w:r>
        <w:rPr>
          <w:rFonts w:cs="Times New Roman" w:ascii="Times New Roman" w:hAnsi="Times New Roman"/>
          <w:b/>
          <w:bCs/>
          <w:color w:val="111111"/>
          <w:sz w:val="24"/>
          <w:szCs w:val="24"/>
        </w:rPr>
        <w:t>3 (três) meses</w:t>
      </w:r>
      <w:r>
        <w:rPr>
          <w:rFonts w:cs="Times New Roman" w:ascii="Times New Roman" w:hAnsi="Times New Roman"/>
          <w:color w:val="111111"/>
          <w:sz w:val="24"/>
          <w:szCs w:val="24"/>
        </w:rPr>
        <w:t xml:space="preserve">, a contar da data estabelecida na </w:t>
      </w:r>
      <w:r>
        <w:rPr>
          <w:rFonts w:cs="Times New Roman" w:ascii="Times New Roman" w:hAnsi="Times New Roman"/>
          <w:color w:val="111111"/>
          <w:sz w:val="24"/>
          <w:szCs w:val="24"/>
        </w:rPr>
        <w:t>Ordem de Início de Serviços</w:t>
      </w:r>
      <w:r>
        <w:rPr>
          <w:rFonts w:cs="Times New Roman" w:ascii="Times New Roman" w:hAnsi="Times New Roman"/>
          <w:color w:val="111111"/>
          <w:sz w:val="24"/>
          <w:szCs w:val="24"/>
        </w:rPr>
        <w:t>, podendo ser prorrogado na forma do art. 111 da Lei n.º 14.133/2021.</w:t>
      </w:r>
    </w:p>
    <w:p>
      <w:pPr>
        <w:pStyle w:val="Normal"/>
        <w:spacing w:before="288" w:after="0"/>
        <w:ind w:firstLine="1985"/>
        <w:jc w:val="both"/>
        <w:rPr>
          <w:color w:val="111111"/>
        </w:rPr>
      </w:pPr>
      <w:r>
        <w:rPr>
          <w:rFonts w:cs="Times New Roman" w:ascii="Times New Roman" w:hAnsi="Times New Roman"/>
          <w:color w:val="111111"/>
          <w:sz w:val="24"/>
          <w:szCs w:val="24"/>
        </w:rPr>
        <w:t>6.1.1. Nos termos do art. 94 da Lei nº 14.133/2021, a eficácia do presente instrumento fica condicionada à sua divulgação no Portal Nacional de Contratações Públicas – PNCP, a qual será providenciada pela Administração no prazo legal.</w:t>
      </w:r>
    </w:p>
    <w:p>
      <w:pPr>
        <w:pStyle w:val="Normal"/>
        <w:spacing w:before="288" w:after="0"/>
        <w:ind w:firstLine="1985"/>
        <w:jc w:val="both"/>
        <w:rPr>
          <w:color w:val="111111"/>
        </w:rPr>
      </w:pPr>
      <w:r>
        <w:rPr>
          <w:rFonts w:cs="Times New Roman" w:ascii="Times New Roman" w:hAnsi="Times New Roman"/>
          <w:color w:val="111111"/>
          <w:sz w:val="24"/>
          <w:szCs w:val="24"/>
        </w:rPr>
        <w:t xml:space="preserve">6.2. </w:t>
      </w:r>
      <w:r>
        <w:rPr>
          <w:rFonts w:cs="Times New Roman" w:ascii="Times New Roman" w:hAnsi="Times New Roman"/>
          <w:color w:val="111111"/>
          <w:sz w:val="24"/>
          <w:szCs w:val="24"/>
        </w:rPr>
        <w:t xml:space="preserve">O </w:t>
      </w:r>
      <w:r>
        <w:rPr>
          <w:rFonts w:cs="Times New Roman" w:ascii="Times New Roman" w:hAnsi="Times New Roman"/>
          <w:color w:val="111111"/>
          <w:sz w:val="24"/>
          <w:szCs w:val="24"/>
        </w:rPr>
        <w:t xml:space="preserve">prazo para </w:t>
      </w:r>
      <w:r>
        <w:rPr>
          <w:rFonts w:cs="Times New Roman" w:ascii="Times New Roman" w:hAnsi="Times New Roman"/>
          <w:color w:val="111111"/>
          <w:sz w:val="24"/>
          <w:szCs w:val="24"/>
          <w:u w:val="single"/>
        </w:rPr>
        <w:t>execução total</w:t>
      </w:r>
      <w:r>
        <w:rPr>
          <w:rFonts w:cs="Times New Roman" w:ascii="Times New Roman" w:hAnsi="Times New Roman"/>
          <w:color w:val="111111"/>
          <w:sz w:val="24"/>
          <w:szCs w:val="24"/>
        </w:rPr>
        <w:t xml:space="preserve"> </w:t>
      </w:r>
      <w:r>
        <w:rPr>
          <w:rFonts w:cs="Times New Roman" w:ascii="Times New Roman" w:hAnsi="Times New Roman"/>
          <w:color w:val="111111"/>
          <w:sz w:val="24"/>
          <w:szCs w:val="24"/>
        </w:rPr>
        <w:t xml:space="preserve">do objeto será de </w:t>
      </w:r>
      <w:r>
        <w:rPr>
          <w:rFonts w:cs="Times New Roman" w:ascii="Times New Roman" w:hAnsi="Times New Roman"/>
          <w:b/>
          <w:bCs/>
          <w:color w:val="111111"/>
          <w:sz w:val="24"/>
          <w:szCs w:val="24"/>
        </w:rPr>
        <w:t>02 (dois) meses</w:t>
      </w:r>
      <w:r>
        <w:rPr>
          <w:rFonts w:cs="Times New Roman" w:ascii="Times New Roman" w:hAnsi="Times New Roman"/>
          <w:color w:val="111111"/>
          <w:sz w:val="24"/>
          <w:szCs w:val="24"/>
        </w:rPr>
        <w:t>,</w:t>
      </w:r>
      <w:r>
        <w:rPr>
          <w:rFonts w:cs="Times New Roman" w:ascii="Times New Roman" w:hAnsi="Times New Roman"/>
          <w:color w:val="111111"/>
          <w:sz w:val="24"/>
          <w:szCs w:val="24"/>
        </w:rPr>
        <w:t xml:space="preserve"> a contar da data estabelecida na </w:t>
      </w:r>
      <w:r>
        <w:rPr>
          <w:rFonts w:cs="Times New Roman" w:ascii="Times New Roman" w:hAnsi="Times New Roman"/>
          <w:color w:val="111111"/>
          <w:sz w:val="24"/>
          <w:szCs w:val="24"/>
        </w:rPr>
        <w:t>Ordem de Início de Serviços</w:t>
      </w:r>
      <w:r>
        <w:rPr>
          <w:rFonts w:cs="Times New Roman" w:ascii="Times New Roman" w:hAnsi="Times New Roman"/>
          <w:color w:val="111111"/>
          <w:sz w:val="24"/>
          <w:szCs w:val="24"/>
        </w:rPr>
        <w:t>, podendo ser prorrogado.</w:t>
      </w:r>
    </w:p>
    <w:p>
      <w:pPr>
        <w:pStyle w:val="Normal"/>
        <w:spacing w:before="288" w:after="0"/>
        <w:jc w:val="both"/>
        <w:rPr>
          <w:color w:val="111111"/>
        </w:rPr>
      </w:pPr>
      <w:r>
        <w:rPr>
          <w:rFonts w:cs="Times New Roman" w:ascii="Times New Roman" w:hAnsi="Times New Roman"/>
          <w:color w:val="111111"/>
          <w:sz w:val="24"/>
          <w:szCs w:val="24"/>
        </w:rPr>
        <w:t>CLÁUSULA SÉTIMA – DAS DOTAÇÕES ORÇAMENTÁRIAS</w:t>
      </w:r>
    </w:p>
    <w:p>
      <w:pPr>
        <w:pStyle w:val="Normal"/>
        <w:spacing w:before="288" w:after="0"/>
        <w:ind w:firstLine="1985"/>
        <w:jc w:val="both"/>
        <w:rPr>
          <w:color w:val="111111"/>
        </w:rPr>
      </w:pPr>
      <w:r>
        <w:rPr>
          <w:rFonts w:cs="Times New Roman" w:ascii="Times New Roman" w:hAnsi="Times New Roman"/>
          <w:color w:val="111111"/>
          <w:sz w:val="24"/>
          <w:szCs w:val="24"/>
        </w:rPr>
        <w:t>7.1. As despesas decorrentes do presente Contrato estão lastreadas na seguinte dotação:</w:t>
      </w:r>
    </w:p>
    <w:p>
      <w:pPr>
        <w:pStyle w:val="Normal"/>
        <w:ind w:firstLine="1985"/>
        <w:jc w:val="both"/>
        <w:rPr>
          <w:color w:val="111111"/>
        </w:rPr>
      </w:pPr>
      <w:r>
        <w:rPr>
          <w:rFonts w:cs="Times New Roman" w:ascii="Times New Roman" w:hAnsi="Times New Roman"/>
          <w:color w:val="111111"/>
          <w:sz w:val="24"/>
          <w:szCs w:val="24"/>
        </w:rPr>
        <w:t xml:space="preserve">Programa de Trabalho: </w:t>
      </w:r>
    </w:p>
    <w:p>
      <w:pPr>
        <w:pStyle w:val="Normal"/>
        <w:ind w:firstLine="1985"/>
        <w:jc w:val="both"/>
        <w:rPr>
          <w:color w:val="111111"/>
        </w:rPr>
      </w:pPr>
      <w:r>
        <w:rPr>
          <w:rFonts w:cs="Times New Roman" w:ascii="Times New Roman" w:hAnsi="Times New Roman"/>
          <w:color w:val="111111"/>
          <w:sz w:val="24"/>
          <w:szCs w:val="24"/>
        </w:rPr>
        <w:t>Natureza da Despesa:</w:t>
      </w:r>
    </w:p>
    <w:p>
      <w:pPr>
        <w:pStyle w:val="Normal"/>
        <w:ind w:firstLine="1985"/>
        <w:jc w:val="both"/>
        <w:rPr>
          <w:color w:val="111111"/>
        </w:rPr>
      </w:pPr>
      <w:r>
        <w:rPr>
          <w:rFonts w:cs="Times New Roman" w:ascii="Times New Roman" w:hAnsi="Times New Roman"/>
          <w:color w:val="111111"/>
          <w:sz w:val="24"/>
          <w:szCs w:val="24"/>
        </w:rPr>
        <w:t xml:space="preserve">Fonte de Recurso: </w:t>
      </w:r>
    </w:p>
    <w:p>
      <w:pPr>
        <w:pStyle w:val="Normal"/>
        <w:spacing w:before="288" w:after="0"/>
        <w:jc w:val="both"/>
        <w:rPr>
          <w:color w:val="111111"/>
        </w:rPr>
      </w:pPr>
      <w:bookmarkStart w:id="7" w:name="_heading=h.x8yagz4tv7v1"/>
      <w:bookmarkEnd w:id="7"/>
      <w:r>
        <w:rPr>
          <w:rFonts w:cs="Times New Roman" w:ascii="Times New Roman" w:hAnsi="Times New Roman"/>
          <w:color w:val="111111"/>
          <w:sz w:val="24"/>
          <w:szCs w:val="24"/>
        </w:rPr>
        <w:t>CLÁUSULA OITAVA – DAS GARANTIAS</w:t>
      </w:r>
    </w:p>
    <w:p>
      <w:pPr>
        <w:pStyle w:val="Normal"/>
        <w:spacing w:before="288" w:after="0"/>
        <w:ind w:firstLine="1985"/>
        <w:jc w:val="both"/>
        <w:rPr>
          <w:color w:val="111111"/>
        </w:rPr>
      </w:pPr>
      <w:r>
        <w:rPr>
          <w:rFonts w:cs="Times New Roman" w:ascii="Times New Roman" w:hAnsi="Times New Roman"/>
          <w:color w:val="111111"/>
          <w:sz w:val="24"/>
          <w:szCs w:val="24"/>
        </w:rPr>
        <w:t xml:space="preserve">8.1. O período de </w:t>
      </w:r>
      <w:r>
        <w:rPr>
          <w:rFonts w:cs="Times New Roman" w:ascii="Times New Roman" w:hAnsi="Times New Roman"/>
          <w:color w:val="111111"/>
          <w:sz w:val="24"/>
          <w:szCs w:val="24"/>
          <w:u w:val="single"/>
        </w:rPr>
        <w:t>garantia do objeto</w:t>
      </w:r>
      <w:r>
        <w:rPr>
          <w:rFonts w:cs="Times New Roman" w:ascii="Times New Roman" w:hAnsi="Times New Roman"/>
          <w:color w:val="111111"/>
          <w:sz w:val="24"/>
          <w:szCs w:val="24"/>
        </w:rPr>
        <w:t xml:space="preserve"> é de no mínimo 05 (cinco) anos, conforme estabelecido no Termo de Referência.</w:t>
      </w:r>
    </w:p>
    <w:p>
      <w:pPr>
        <w:pStyle w:val="Normal"/>
        <w:spacing w:before="288" w:after="0"/>
        <w:ind w:firstLine="1985"/>
        <w:jc w:val="both"/>
        <w:rPr>
          <w:rFonts w:ascii="Times New Roman" w:hAnsi="Times New Roman" w:cs="Times New Roman"/>
          <w:b/>
          <w:bCs/>
          <w:color w:val="111111"/>
          <w:sz w:val="24"/>
          <w:szCs w:val="24"/>
          <w:u w:val="single"/>
        </w:rPr>
      </w:pPr>
      <w:r>
        <w:rPr>
          <w:rFonts w:cs="Times New Roman" w:ascii="Times New Roman" w:hAnsi="Times New Roman"/>
          <w:b/>
          <w:bCs/>
          <w:color w:val="111111"/>
          <w:sz w:val="24"/>
          <w:szCs w:val="24"/>
          <w:u w:val="single"/>
        </w:rPr>
      </w:r>
    </w:p>
    <w:p>
      <w:pPr>
        <w:pStyle w:val="Normal"/>
        <w:spacing w:before="280" w:after="240"/>
        <w:ind w:firstLine="1980"/>
        <w:jc w:val="both"/>
        <w:rPr>
          <w:color w:val="111111"/>
        </w:rPr>
      </w:pPr>
      <w:r>
        <w:rPr>
          <w:rFonts w:cs="Times New Roman" w:ascii="Times New Roman" w:hAnsi="Times New Roman"/>
          <w:color w:val="111111"/>
          <w:sz w:val="24"/>
          <w:szCs w:val="24"/>
        </w:rPr>
        <w:t xml:space="preserve">8.2. A CONTRATADA deverá prestar </w:t>
      </w:r>
      <w:r>
        <w:rPr>
          <w:rFonts w:cs="Times New Roman" w:ascii="Times New Roman" w:hAnsi="Times New Roman"/>
          <w:color w:val="111111"/>
          <w:sz w:val="24"/>
          <w:szCs w:val="24"/>
          <w:u w:val="single"/>
        </w:rPr>
        <w:t>garantia de execução contratual</w:t>
      </w:r>
      <w:r>
        <w:rPr>
          <w:rFonts w:cs="Times New Roman" w:ascii="Times New Roman" w:hAnsi="Times New Roman"/>
          <w:color w:val="111111"/>
          <w:sz w:val="24"/>
          <w:szCs w:val="24"/>
        </w:rPr>
        <w:t xml:space="preserve"> no valor de 5% (cinco por cento) do valor inicial do contrato, conforme regramento estabelecido no Termo de Referência.</w:t>
      </w:r>
    </w:p>
    <w:p>
      <w:pPr>
        <w:pStyle w:val="Normal"/>
        <w:spacing w:before="288" w:after="0"/>
        <w:jc w:val="both"/>
        <w:rPr>
          <w:color w:val="111111"/>
        </w:rPr>
      </w:pPr>
      <w:r>
        <w:rPr>
          <w:rFonts w:cs="Times New Roman" w:ascii="Times New Roman" w:hAnsi="Times New Roman"/>
          <w:color w:val="111111"/>
          <w:sz w:val="24"/>
          <w:szCs w:val="24"/>
        </w:rPr>
        <w:t>CLÁUSULA NONA – DA FISCALIZAÇÃO</w:t>
      </w:r>
    </w:p>
    <w:p>
      <w:pPr>
        <w:pStyle w:val="Normal"/>
        <w:spacing w:before="280" w:after="240"/>
        <w:ind w:firstLine="1980"/>
        <w:jc w:val="both"/>
        <w:rPr>
          <w:color w:val="111111"/>
        </w:rPr>
      </w:pPr>
      <w:r>
        <w:rPr>
          <w:rFonts w:cs="Times New Roman" w:ascii="Times New Roman" w:hAnsi="Times New Roman"/>
          <w:color w:val="111111"/>
          <w:sz w:val="24"/>
          <w:szCs w:val="24"/>
        </w:rPr>
        <w:t>9.1. O acompanhamento e a fiscalização do presente Contrato serão efetuados pela Secretaria requisitante que designará servidor para o encargo da fiscalização, conforme disposição do Decreto Municipal n.º 196/2018, o qual deverá comunicar à CONTRATADA as ocorrências que a seu critério exijam medidas corretivas e emitir o Termo de Fiscalização.</w:t>
      </w:r>
    </w:p>
    <w:p>
      <w:pPr>
        <w:pStyle w:val="Normal"/>
        <w:spacing w:before="280" w:after="240"/>
        <w:ind w:firstLine="1980"/>
        <w:jc w:val="both"/>
        <w:rPr>
          <w:color w:val="111111"/>
        </w:rPr>
      </w:pPr>
      <w:r>
        <w:rPr>
          <w:rFonts w:cs="Times New Roman" w:ascii="Times New Roman" w:hAnsi="Times New Roman"/>
          <w:color w:val="111111"/>
          <w:sz w:val="24"/>
          <w:szCs w:val="24"/>
        </w:rPr>
        <w:t>9.1.1. Além do exposto na cláusula 9.1., a fiscalização contratual seguirá os procedimentos descritos no Termo de Referência.</w:t>
      </w:r>
    </w:p>
    <w:p>
      <w:pPr>
        <w:pStyle w:val="Normal"/>
        <w:spacing w:before="280" w:after="240"/>
        <w:ind w:firstLine="1980"/>
        <w:jc w:val="both"/>
        <w:rPr>
          <w:color w:val="111111"/>
        </w:rPr>
      </w:pPr>
      <w:r>
        <w:rPr>
          <w:rFonts w:cs="Times New Roman" w:ascii="Times New Roman" w:hAnsi="Times New Roman"/>
          <w:color w:val="111111"/>
          <w:sz w:val="24"/>
          <w:szCs w:val="24"/>
        </w:rPr>
        <w:t>9.2. A fiscalização exercerá rigoroso controle em relação à qualidade do objeto contratado, a fim de possibilitar a aplicação das penalidades previstas quando desatendidas as disposições a ela relativas.</w:t>
      </w:r>
    </w:p>
    <w:p>
      <w:pPr>
        <w:pStyle w:val="Normal"/>
        <w:spacing w:before="280" w:after="240"/>
        <w:ind w:firstLine="1980"/>
        <w:jc w:val="both"/>
        <w:rPr>
          <w:color w:val="111111"/>
        </w:rPr>
      </w:pPr>
      <w:r>
        <w:rPr>
          <w:rFonts w:cs="Times New Roman" w:ascii="Times New Roman" w:hAnsi="Times New Roman"/>
          <w:color w:val="111111"/>
          <w:sz w:val="24"/>
          <w:szCs w:val="24"/>
        </w:rPr>
        <w:t>9.2.1. Quando necessário, serão emitidas notificações à CONTRATADA, demonstrando objetivamente os descumprimentos contratuais verificados pela fiscalização.</w:t>
      </w:r>
    </w:p>
    <w:p>
      <w:pPr>
        <w:pStyle w:val="Normal"/>
        <w:spacing w:before="288" w:after="0"/>
        <w:jc w:val="both"/>
        <w:rPr>
          <w:color w:val="111111"/>
        </w:rPr>
      </w:pPr>
      <w:r>
        <w:rPr>
          <w:rFonts w:cs="Times New Roman" w:ascii="Times New Roman" w:hAnsi="Times New Roman"/>
          <w:color w:val="111111"/>
          <w:sz w:val="24"/>
          <w:szCs w:val="24"/>
        </w:rPr>
        <w:t>CLÁUSULA DÉCIMA – DO RECEBIMENTO DO OBJETO</w:t>
      </w:r>
    </w:p>
    <w:p>
      <w:pPr>
        <w:pStyle w:val="Normal"/>
        <w:pBdr/>
        <w:spacing w:before="288" w:after="0"/>
        <w:ind w:firstLine="1985"/>
        <w:jc w:val="both"/>
        <w:rPr>
          <w:color w:val="111111"/>
        </w:rPr>
      </w:pPr>
      <w:r>
        <w:rPr>
          <w:rFonts w:cs="Times New Roman" w:ascii="Times New Roman" w:hAnsi="Times New Roman"/>
          <w:color w:val="111111"/>
          <w:sz w:val="24"/>
          <w:szCs w:val="24"/>
        </w:rPr>
        <w:t>10</w:t>
      </w:r>
      <w:r>
        <w:rPr>
          <w:rFonts w:cs="Times New Roman" w:ascii="Times New Roman" w:hAnsi="Times New Roman"/>
          <w:color w:val="111111"/>
          <w:sz w:val="24"/>
          <w:szCs w:val="24"/>
        </w:rPr>
        <w:t>.1. O objeto do contrato será recebido, nos termos do disposto no art. 140 da Lei n.º 14.133/2021:</w:t>
      </w:r>
    </w:p>
    <w:p>
      <w:pPr>
        <w:pStyle w:val="Normal"/>
        <w:pBdr/>
        <w:spacing w:before="288" w:after="0"/>
        <w:ind w:firstLine="1985"/>
        <w:jc w:val="both"/>
        <w:rPr>
          <w:color w:val="111111"/>
        </w:rPr>
      </w:pPr>
      <w:r>
        <w:rPr>
          <w:rFonts w:cs="Times New Roman" w:ascii="Times New Roman" w:hAnsi="Times New Roman"/>
          <w:color w:val="111111"/>
          <w:sz w:val="24"/>
          <w:szCs w:val="24"/>
        </w:rPr>
        <w:t>10</w:t>
      </w:r>
      <w:r>
        <w:rPr>
          <w:rFonts w:cs="Times New Roman" w:ascii="Times New Roman" w:hAnsi="Times New Roman"/>
          <w:color w:val="111111"/>
          <w:sz w:val="24"/>
          <w:szCs w:val="24"/>
        </w:rPr>
        <w:t xml:space="preserve">.1.1. PROVISORIAMENTE, </w:t>
      </w:r>
      <w:r>
        <w:rPr>
          <w:rFonts w:cs="Times New Roman" w:ascii="Times New Roman" w:hAnsi="Times New Roman"/>
          <w:color w:val="111111"/>
          <w:sz w:val="24"/>
          <w:szCs w:val="24"/>
        </w:rPr>
        <w:t>em até 15 dias consecutivos a contar da entrega, pelo responsável por seu acompanhamento e/ou fiscalização, com verificação posterior da conformidade do objeto com as exigências do edital e seus anexos;</w:t>
      </w:r>
    </w:p>
    <w:p>
      <w:pPr>
        <w:pStyle w:val="Normal"/>
        <w:pBdr/>
        <w:spacing w:before="288" w:after="0"/>
        <w:ind w:firstLine="1985"/>
        <w:jc w:val="both"/>
        <w:rPr>
          <w:color w:val="111111"/>
        </w:rPr>
      </w:pPr>
      <w:r>
        <w:rPr>
          <w:rFonts w:cs="Times New Roman" w:ascii="Times New Roman" w:hAnsi="Times New Roman"/>
          <w:color w:val="111111"/>
          <w:sz w:val="24"/>
          <w:szCs w:val="24"/>
        </w:rPr>
        <w:t>10</w:t>
      </w:r>
      <w:r>
        <w:rPr>
          <w:rFonts w:cs="Times New Roman" w:ascii="Times New Roman" w:hAnsi="Times New Roman"/>
          <w:color w:val="111111"/>
          <w:sz w:val="24"/>
          <w:szCs w:val="24"/>
        </w:rPr>
        <w:t xml:space="preserve">.1.2. DEFINITIVAMENTE, </w:t>
      </w:r>
      <w:r>
        <w:rPr>
          <w:rFonts w:cs="Times New Roman" w:ascii="Times New Roman" w:hAnsi="Times New Roman"/>
          <w:color w:val="111111"/>
          <w:sz w:val="24"/>
          <w:szCs w:val="24"/>
        </w:rPr>
        <w:t>por servidor responsável, mediante termo detalhado que comprove o atendimento das exigências quantitativas e qualitativas, no prazo máximo de 30 dias consecutivos contados após o recebimento provisório.</w:t>
      </w:r>
    </w:p>
    <w:p>
      <w:pPr>
        <w:pStyle w:val="Normal"/>
        <w:pBdr/>
        <w:spacing w:before="288" w:after="0"/>
        <w:ind w:firstLine="1985"/>
        <w:jc w:val="both"/>
        <w:rPr>
          <w:color w:val="111111"/>
        </w:rPr>
      </w:pPr>
      <w:r>
        <w:rPr>
          <w:rFonts w:cs="Times New Roman" w:ascii="Times New Roman" w:hAnsi="Times New Roman"/>
          <w:color w:val="111111"/>
          <w:sz w:val="24"/>
          <w:szCs w:val="24"/>
        </w:rPr>
        <w:t>10</w:t>
      </w:r>
      <w:r>
        <w:rPr>
          <w:rFonts w:cs="Times New Roman" w:ascii="Times New Roman" w:hAnsi="Times New Roman"/>
          <w:color w:val="111111"/>
          <w:sz w:val="24"/>
          <w:szCs w:val="24"/>
        </w:rPr>
        <w:t>.2. O objeto do contrato poderá ser rejeitado, no todo ou em parte, quando estiver em desacordo com o contrato.</w:t>
      </w:r>
    </w:p>
    <w:p>
      <w:pPr>
        <w:pStyle w:val="Normal"/>
        <w:pBdr/>
        <w:spacing w:before="288" w:after="0"/>
        <w:ind w:firstLine="1985"/>
        <w:jc w:val="both"/>
        <w:rPr>
          <w:color w:val="111111"/>
        </w:rPr>
      </w:pPr>
      <w:r>
        <w:rPr>
          <w:rFonts w:cs="Times New Roman" w:ascii="Times New Roman" w:hAnsi="Times New Roman"/>
          <w:color w:val="111111"/>
          <w:sz w:val="24"/>
          <w:szCs w:val="24"/>
        </w:rPr>
        <w:t>10</w:t>
      </w:r>
      <w:r>
        <w:rPr>
          <w:rFonts w:cs="Times New Roman" w:ascii="Times New Roman" w:hAnsi="Times New Roman"/>
          <w:color w:val="111111"/>
          <w:sz w:val="24"/>
          <w:szCs w:val="24"/>
        </w:rPr>
        <w:t>.3. O recebimento provisório ou definitivo não excluirá a responsabilidade civil pela solidez e pela segurança do objeto contratado, nem a responsabilidade ético-profissional pela perfeita execução do contrato, nos limites estabelecidos pela lei ou por este instrumento.</w:t>
      </w:r>
    </w:p>
    <w:p>
      <w:pPr>
        <w:pStyle w:val="Normal"/>
        <w:pBdr/>
        <w:spacing w:before="288" w:after="0"/>
        <w:ind w:firstLine="1985"/>
        <w:jc w:val="both"/>
        <w:rPr>
          <w:color w:val="111111"/>
        </w:rPr>
      </w:pPr>
      <w:r>
        <w:rPr>
          <w:rFonts w:cs="Times New Roman" w:ascii="Times New Roman" w:hAnsi="Times New Roman"/>
          <w:color w:val="111111"/>
          <w:sz w:val="24"/>
          <w:szCs w:val="24"/>
        </w:rPr>
        <w:t>10.4. Em se tratando de projeto de obra, o recebimento definitivo pela Administração não eximirá o projetista ou o consultor da responsabilidade objetiva por todos os danos causados por falha de projeto.</w:t>
      </w:r>
    </w:p>
    <w:p>
      <w:pPr>
        <w:pStyle w:val="Normal"/>
        <w:pBdr/>
        <w:spacing w:before="288" w:after="0"/>
        <w:ind w:firstLine="1985"/>
        <w:jc w:val="both"/>
        <w:rPr>
          <w:color w:val="111111"/>
        </w:rPr>
      </w:pPr>
      <w:r>
        <w:rPr>
          <w:rFonts w:cs="Times New Roman" w:ascii="Times New Roman" w:hAnsi="Times New Roman"/>
          <w:color w:val="111111"/>
          <w:sz w:val="24"/>
          <w:szCs w:val="24"/>
        </w:rPr>
        <w:t>10.5. Em se tratando de obra, o recebimento definitivo pela Administração não eximirá o contratado, pelo prazo mínimo de 5 (cinco) anos, admitida a previsão de prazo de garantia superior no edital e no contrato, da responsabilidade objetiva pela solidez e pela segurança dos materiais e dos serviços executados e pela funcionalidade da construção, da reforma, da recuperação ou da ampliação do bem imóvel, e, em caso de vício, defeito ou incorreção identificados, o contratado ficará responsável pela reparação, pela correção, pela reconstrução ou pelas substituições necessárias.</w:t>
      </w:r>
    </w:p>
    <w:p>
      <w:pPr>
        <w:pStyle w:val="Normal"/>
        <w:spacing w:before="288" w:after="0"/>
        <w:jc w:val="both"/>
        <w:rPr>
          <w:color w:val="111111"/>
        </w:rPr>
      </w:pPr>
      <w:r>
        <w:rPr>
          <w:rFonts w:cs="Times New Roman" w:ascii="Times New Roman" w:hAnsi="Times New Roman"/>
          <w:color w:val="111111"/>
          <w:sz w:val="24"/>
          <w:szCs w:val="24"/>
        </w:rPr>
        <w:t>CLÁUSULA DÉCIMA PRIMEIRA – DAS OBRIGAÇÕES DA CONTRATADA</w:t>
      </w:r>
    </w:p>
    <w:p>
      <w:pPr>
        <w:pStyle w:val="Normal"/>
        <w:spacing w:before="288" w:after="0"/>
        <w:ind w:firstLine="1985"/>
        <w:jc w:val="both"/>
        <w:rPr>
          <w:color w:val="111111"/>
        </w:rPr>
      </w:pPr>
      <w:r>
        <w:rPr>
          <w:rFonts w:cs="Times New Roman" w:ascii="Times New Roman" w:hAnsi="Times New Roman"/>
          <w:color w:val="111111"/>
          <w:sz w:val="24"/>
          <w:szCs w:val="24"/>
        </w:rPr>
        <w:t>11.1. Constituem obrigações da CONTRATADA, além das específicas à execução do objeto contratual dispostas no TERMO DE REFERÊNCIA que integra o presente Contrato:</w:t>
      </w:r>
    </w:p>
    <w:p>
      <w:pPr>
        <w:pStyle w:val="Normal"/>
        <w:spacing w:before="288" w:after="0"/>
        <w:ind w:firstLine="1985"/>
        <w:jc w:val="both"/>
        <w:rPr>
          <w:color w:val="111111"/>
        </w:rPr>
      </w:pPr>
      <w:r>
        <w:rPr>
          <w:rFonts w:cs="Times New Roman" w:ascii="Times New Roman" w:hAnsi="Times New Roman"/>
          <w:color w:val="111111"/>
          <w:sz w:val="24"/>
          <w:szCs w:val="24"/>
        </w:rPr>
        <w:t>11.1.1. Conhecer detalhadamente todas as cláusulas deste Contrato e de seus Anexos;</w:t>
      </w:r>
    </w:p>
    <w:p>
      <w:pPr>
        <w:pStyle w:val="Normal"/>
        <w:spacing w:before="288" w:after="0"/>
        <w:ind w:firstLine="1985"/>
        <w:jc w:val="both"/>
        <w:rPr>
          <w:color w:val="111111"/>
        </w:rPr>
      </w:pPr>
      <w:r>
        <w:rPr>
          <w:rFonts w:cs="Times New Roman" w:ascii="Times New Roman" w:hAnsi="Times New Roman"/>
          <w:color w:val="111111"/>
          <w:sz w:val="24"/>
          <w:szCs w:val="24"/>
        </w:rPr>
        <w:t>11.1.2. Realizar com seus próprios recursos todas as obrigações relacionadas ao objeto deste Contrato, de acordo com as especificações determinadas no Processo Administrativo que o originou, assumindo a responsabilidade técnica pelos serviços prestados, pelos equipamentos e/ou acessórios disponibilizados;</w:t>
      </w:r>
    </w:p>
    <w:p>
      <w:pPr>
        <w:pStyle w:val="Normal"/>
        <w:spacing w:before="288" w:after="0"/>
        <w:ind w:firstLine="1985"/>
        <w:jc w:val="both"/>
        <w:rPr>
          <w:color w:val="111111"/>
        </w:rPr>
      </w:pPr>
      <w:r>
        <w:rPr>
          <w:rFonts w:cs="Times New Roman" w:ascii="Times New Roman" w:hAnsi="Times New Roman"/>
          <w:color w:val="111111"/>
          <w:sz w:val="24"/>
          <w:szCs w:val="24"/>
        </w:rPr>
        <w:t>11.1.3. Cumprir as legislações federal, estadual e municipal pertinentes, e se responsabilizar pelos danos e encargos de qualquer espécie;</w:t>
      </w:r>
    </w:p>
    <w:p>
      <w:pPr>
        <w:pStyle w:val="Normal"/>
        <w:spacing w:before="288" w:after="0"/>
        <w:ind w:firstLine="1985"/>
        <w:jc w:val="both"/>
        <w:rPr>
          <w:color w:val="111111"/>
        </w:rPr>
      </w:pPr>
      <w:r>
        <w:rPr>
          <w:rFonts w:cs="Times New Roman" w:ascii="Times New Roman" w:hAnsi="Times New Roman"/>
          <w:color w:val="111111"/>
          <w:sz w:val="24"/>
          <w:szCs w:val="24"/>
        </w:rPr>
        <w:t xml:space="preserve">11.1.4. </w:t>
      </w:r>
      <w:r>
        <w:rPr>
          <w:rFonts w:cs="Times New Roman" w:ascii="Times New Roman" w:hAnsi="Times New Roman"/>
          <w:color w:val="111111"/>
          <w:sz w:val="24"/>
          <w:szCs w:val="24"/>
        </w:rPr>
        <w:t> Cumprir as exigências de reserva de cargos previstos em lei, bem como em outras normas específicas, para pessoa com deficiência, para reabilitado da previdência social e para aprendiz;</w:t>
      </w:r>
    </w:p>
    <w:p>
      <w:pPr>
        <w:pStyle w:val="Normal"/>
        <w:spacing w:before="288" w:after="0"/>
        <w:ind w:firstLine="1985"/>
        <w:jc w:val="both"/>
        <w:rPr>
          <w:color w:val="111111"/>
        </w:rPr>
      </w:pPr>
      <w:r>
        <w:rPr>
          <w:rFonts w:cs="Times New Roman" w:ascii="Times New Roman" w:hAnsi="Times New Roman"/>
          <w:color w:val="111111"/>
          <w:sz w:val="24"/>
          <w:szCs w:val="24"/>
        </w:rPr>
        <w:t>11</w:t>
      </w:r>
      <w:r>
        <w:rPr>
          <w:rFonts w:cs="Times New Roman" w:ascii="Times New Roman" w:hAnsi="Times New Roman"/>
          <w:color w:val="111111"/>
          <w:sz w:val="24"/>
          <w:szCs w:val="24"/>
        </w:rPr>
        <w:t>.1.5. Pagar e recolher todos os impostos e demais encargos fiscais, bem como todos os encargos trabalhistas, previdenciários, sociais e comerciais, prêmios de seguro e de acidente de trabalho, que forem devidos em decorrência do objeto deste Contrato conforme exigência legal, sendo a única responsável no tocante ao vínculo empregatício com seus profissionais, inclusive reclamações trabalhistas;</w:t>
      </w:r>
    </w:p>
    <w:p>
      <w:pPr>
        <w:pStyle w:val="Normal"/>
        <w:spacing w:before="288" w:after="0"/>
        <w:ind w:firstLine="1985"/>
        <w:jc w:val="both"/>
        <w:rPr>
          <w:color w:val="111111"/>
        </w:rPr>
      </w:pPr>
      <w:r>
        <w:rPr>
          <w:rFonts w:cs="Times New Roman" w:ascii="Times New Roman" w:hAnsi="Times New Roman"/>
          <w:color w:val="111111"/>
          <w:sz w:val="24"/>
          <w:szCs w:val="24"/>
        </w:rPr>
        <w:t>11.1.6. Manter durante toda a execução do Contrato, compatibilidade com as obrigações assumidas e todas as condições de habilitação e qualificação exigidas na contratação;</w:t>
      </w:r>
    </w:p>
    <w:p>
      <w:pPr>
        <w:pStyle w:val="Normal"/>
        <w:spacing w:before="288" w:after="0"/>
        <w:ind w:firstLine="1985"/>
        <w:jc w:val="both"/>
        <w:rPr>
          <w:color w:val="111111"/>
        </w:rPr>
      </w:pPr>
      <w:r>
        <w:rPr>
          <w:rFonts w:cs="Times New Roman" w:ascii="Times New Roman" w:hAnsi="Times New Roman"/>
          <w:color w:val="111111"/>
          <w:sz w:val="24"/>
          <w:szCs w:val="24"/>
        </w:rPr>
        <w:t>11.1.7. Reparar, corrigir, remover, reconstituir, ou substituir, às suas expensas, no total ou em parte, o objeto do contrato em que se verificarem vícios, defeitos ou incorreções e/ou prestar serviços em conformidade com o cronograma estipulado pela CONTRATANTE;</w:t>
      </w:r>
    </w:p>
    <w:p>
      <w:pPr>
        <w:pStyle w:val="Normal"/>
        <w:spacing w:before="288" w:after="0"/>
        <w:ind w:firstLine="1985"/>
        <w:jc w:val="both"/>
        <w:rPr>
          <w:color w:val="111111"/>
        </w:rPr>
      </w:pPr>
      <w:r>
        <w:rPr>
          <w:rFonts w:cs="Times New Roman" w:ascii="Times New Roman" w:hAnsi="Times New Roman"/>
          <w:color w:val="111111"/>
          <w:sz w:val="24"/>
          <w:szCs w:val="24"/>
        </w:rPr>
        <w:t>11.1.8. A CONTRATADA deverá arcar com as despesas do fornecimento dos materiais e mão de obra necessários à execução do objeto contratado.</w:t>
      </w:r>
    </w:p>
    <w:p>
      <w:pPr>
        <w:pStyle w:val="Normal"/>
        <w:spacing w:before="288" w:after="0"/>
        <w:ind w:firstLine="1985"/>
        <w:jc w:val="both"/>
        <w:rPr>
          <w:color w:val="111111"/>
        </w:rPr>
      </w:pPr>
      <w:r>
        <w:rPr>
          <w:rFonts w:cs="Times New Roman" w:ascii="Times New Roman" w:hAnsi="Times New Roman"/>
          <w:color w:val="111111"/>
          <w:sz w:val="24"/>
          <w:szCs w:val="24"/>
        </w:rPr>
        <w:t>11.1.9. Obedecer fielmente a proposta apresentada.</w:t>
      </w:r>
    </w:p>
    <w:p>
      <w:pPr>
        <w:pStyle w:val="Normal"/>
        <w:spacing w:before="288" w:after="0"/>
        <w:jc w:val="both"/>
        <w:rPr>
          <w:color w:val="111111"/>
        </w:rPr>
      </w:pPr>
      <w:bookmarkStart w:id="8" w:name="_heading=h.v3uq0fvdayh0"/>
      <w:bookmarkEnd w:id="8"/>
      <w:r>
        <w:rPr>
          <w:rFonts w:cs="Times New Roman" w:ascii="Times New Roman" w:hAnsi="Times New Roman"/>
          <w:color w:val="111111"/>
          <w:sz w:val="24"/>
          <w:szCs w:val="24"/>
        </w:rPr>
        <w:t>CLÁUSULA DÉCIMA SEGUNDA – DAS OBRIGAÇÕES DA CONTRATANTE</w:t>
      </w:r>
    </w:p>
    <w:p>
      <w:pPr>
        <w:pStyle w:val="Normal"/>
        <w:spacing w:before="288" w:after="0"/>
        <w:ind w:firstLine="1985"/>
        <w:jc w:val="both"/>
        <w:rPr>
          <w:color w:val="111111"/>
        </w:rPr>
      </w:pPr>
      <w:r>
        <w:rPr>
          <w:rFonts w:cs="Times New Roman" w:ascii="Times New Roman" w:hAnsi="Times New Roman"/>
          <w:color w:val="111111"/>
          <w:sz w:val="24"/>
          <w:szCs w:val="24"/>
        </w:rPr>
        <w:t>12.1. Constituir-se-ão obrigações do CONTRATANTE:</w:t>
      </w:r>
    </w:p>
    <w:p>
      <w:pPr>
        <w:pStyle w:val="Normal"/>
        <w:spacing w:before="288" w:after="0"/>
        <w:ind w:firstLine="1985"/>
        <w:jc w:val="both"/>
        <w:rPr>
          <w:color w:val="111111"/>
        </w:rPr>
      </w:pPr>
      <w:r>
        <w:rPr>
          <w:rFonts w:cs="Times New Roman" w:ascii="Times New Roman" w:hAnsi="Times New Roman"/>
          <w:color w:val="111111"/>
          <w:sz w:val="24"/>
          <w:szCs w:val="24"/>
        </w:rPr>
        <w:t>12.1.1. Fornecer e colocar à disposição da CONTRATADA todos os elementos e informações que se fizerem necessários à execução do Contrato;</w:t>
      </w:r>
    </w:p>
    <w:p>
      <w:pPr>
        <w:pStyle w:val="Normal"/>
        <w:spacing w:before="288" w:after="0"/>
        <w:ind w:firstLine="1985"/>
        <w:jc w:val="both"/>
        <w:rPr>
          <w:color w:val="111111"/>
        </w:rPr>
      </w:pPr>
      <w:r>
        <w:rPr>
          <w:rFonts w:cs="Times New Roman" w:ascii="Times New Roman" w:hAnsi="Times New Roman"/>
          <w:color w:val="111111"/>
          <w:sz w:val="24"/>
          <w:szCs w:val="24"/>
        </w:rPr>
        <w:t>12.1.2. Notificar a CONTRATADA, formal e tempestivamente, sobre as irregularidades observadas no cumprimento do Contrato;</w:t>
      </w:r>
    </w:p>
    <w:p>
      <w:pPr>
        <w:pStyle w:val="Normal"/>
        <w:spacing w:before="288" w:after="0"/>
        <w:ind w:firstLine="1985"/>
        <w:jc w:val="both"/>
        <w:rPr>
          <w:color w:val="111111"/>
        </w:rPr>
      </w:pPr>
      <w:r>
        <w:rPr>
          <w:rFonts w:cs="Times New Roman" w:ascii="Times New Roman" w:hAnsi="Times New Roman"/>
          <w:color w:val="111111"/>
          <w:sz w:val="24"/>
          <w:szCs w:val="24"/>
        </w:rPr>
        <w:t>12.1.3. Efetuar o pagamento nas condições estabelecidas neste Contrato;</w:t>
      </w:r>
    </w:p>
    <w:p>
      <w:pPr>
        <w:pStyle w:val="Normal"/>
        <w:spacing w:before="288" w:after="0"/>
        <w:ind w:firstLine="1985"/>
        <w:jc w:val="both"/>
        <w:rPr>
          <w:color w:val="111111"/>
        </w:rPr>
      </w:pPr>
      <w:r>
        <w:rPr>
          <w:rFonts w:cs="Times New Roman" w:ascii="Times New Roman" w:hAnsi="Times New Roman"/>
          <w:color w:val="111111"/>
          <w:sz w:val="24"/>
          <w:szCs w:val="24"/>
        </w:rPr>
        <w:t>12.1.4. Exercer a fiscalização do Contrato por técnicos especialmente designados;</w:t>
      </w:r>
    </w:p>
    <w:p>
      <w:pPr>
        <w:pStyle w:val="Normal"/>
        <w:spacing w:before="288" w:after="0"/>
        <w:ind w:firstLine="1985"/>
        <w:jc w:val="both"/>
        <w:rPr>
          <w:color w:val="111111"/>
        </w:rPr>
      </w:pPr>
      <w:r>
        <w:rPr>
          <w:rFonts w:cs="Times New Roman" w:ascii="Times New Roman" w:hAnsi="Times New Roman"/>
          <w:color w:val="111111"/>
          <w:sz w:val="24"/>
          <w:szCs w:val="24"/>
        </w:rPr>
        <w:t>12.1.5. Emitir termo de Fiscalização;</w:t>
      </w:r>
    </w:p>
    <w:p>
      <w:pPr>
        <w:pStyle w:val="Normal"/>
        <w:spacing w:before="288" w:after="0"/>
        <w:ind w:firstLine="1985"/>
        <w:jc w:val="both"/>
        <w:rPr>
          <w:color w:val="111111"/>
        </w:rPr>
      </w:pPr>
      <w:r>
        <w:rPr>
          <w:rFonts w:cs="Times New Roman" w:ascii="Times New Roman" w:hAnsi="Times New Roman"/>
          <w:color w:val="111111"/>
          <w:sz w:val="24"/>
          <w:szCs w:val="24"/>
        </w:rPr>
        <w:t>12.1.6. Indicar, formalmente, o gestor/fiscal para acompanhamento/ fiscalização da execução contratual;</w:t>
      </w:r>
    </w:p>
    <w:p>
      <w:pPr>
        <w:pStyle w:val="Normal"/>
        <w:spacing w:before="288" w:after="0"/>
        <w:ind w:firstLine="1985"/>
        <w:jc w:val="both"/>
        <w:rPr>
          <w:color w:val="111111"/>
        </w:rPr>
      </w:pPr>
      <w:r>
        <w:rPr>
          <w:rFonts w:cs="Times New Roman" w:ascii="Times New Roman" w:hAnsi="Times New Roman"/>
          <w:color w:val="111111"/>
          <w:sz w:val="24"/>
          <w:szCs w:val="24"/>
        </w:rPr>
        <w:t>12.1.7. Encaminhar a liberação dos pagamentos mensais das faturas de prestação dos serviços, após devidamente analisadas e aprovadas pela fiscalização contratual;</w:t>
      </w:r>
    </w:p>
    <w:p>
      <w:pPr>
        <w:pStyle w:val="Normal"/>
        <w:spacing w:before="288" w:after="0"/>
        <w:ind w:firstLine="1985"/>
        <w:jc w:val="both"/>
        <w:rPr>
          <w:color w:val="111111"/>
        </w:rPr>
      </w:pPr>
      <w:r>
        <w:rPr>
          <w:rFonts w:cs="Times New Roman" w:ascii="Times New Roman" w:hAnsi="Times New Roman"/>
          <w:color w:val="111111"/>
          <w:sz w:val="24"/>
          <w:szCs w:val="24"/>
        </w:rPr>
        <w:t>12.1.8. Informar a CONTRATADA, previamente ao início da execução do objeto contratado, e sempre que julgar necessários, todas as normas, as rotinas e os protocolos institucionais que deverão ser seguidos para a correta e a satisfatória execução do Contrato, bem como indicar e disponibilizar instalações necessárias à execução do mesmo;</w:t>
      </w:r>
    </w:p>
    <w:p>
      <w:pPr>
        <w:pStyle w:val="Normal"/>
        <w:spacing w:before="288" w:after="0"/>
        <w:ind w:firstLine="1985"/>
        <w:jc w:val="both"/>
        <w:rPr>
          <w:color w:val="111111"/>
        </w:rPr>
      </w:pPr>
      <w:r>
        <w:rPr>
          <w:rFonts w:cs="Times New Roman" w:ascii="Times New Roman" w:hAnsi="Times New Roman"/>
          <w:color w:val="111111"/>
          <w:sz w:val="24"/>
          <w:szCs w:val="24"/>
        </w:rPr>
        <w:t>12.1.9. É dever do CONTRATANTE, sempre que houver necessidade, averiguada em processo formal, a aplicação à CONTRATADA das penalidades legais e contratuais;</w:t>
      </w:r>
    </w:p>
    <w:p>
      <w:pPr>
        <w:pStyle w:val="Normal"/>
        <w:spacing w:before="288" w:after="0"/>
        <w:ind w:firstLine="1985"/>
        <w:jc w:val="both"/>
        <w:rPr>
          <w:color w:val="111111"/>
        </w:rPr>
      </w:pPr>
      <w:r>
        <w:rPr>
          <w:rFonts w:cs="Times New Roman" w:ascii="Times New Roman" w:hAnsi="Times New Roman"/>
          <w:color w:val="111111"/>
          <w:sz w:val="24"/>
          <w:szCs w:val="24"/>
        </w:rPr>
        <w:t>12.1.10. Relacionar, caso necessário, as dependências das instalações físicas, bem como os bens de sua propriedade que serão disponibilizados para a execução do objeto, quando for o caso, com a indicação do estado de conservação;</w:t>
      </w:r>
    </w:p>
    <w:p>
      <w:pPr>
        <w:pStyle w:val="Normal"/>
        <w:spacing w:before="288" w:after="0"/>
        <w:ind w:firstLine="1985"/>
        <w:jc w:val="both"/>
        <w:rPr>
          <w:color w:val="111111"/>
        </w:rPr>
      </w:pPr>
      <w:r>
        <w:rPr>
          <w:rFonts w:cs="Times New Roman" w:ascii="Times New Roman" w:hAnsi="Times New Roman"/>
          <w:color w:val="111111"/>
          <w:sz w:val="24"/>
          <w:szCs w:val="24"/>
        </w:rPr>
        <w:t>12.1.11. Notificar a CONTRATADA, formal e tempestivamente, através da Secretaria requisitante, por escrito, podendo ser na forma eletrônica, desde que haja confirmação do recebimento, quanto ao não cumprimento de cláusulas do contrato.</w:t>
      </w:r>
    </w:p>
    <w:p>
      <w:pPr>
        <w:pStyle w:val="Normal"/>
        <w:spacing w:before="288" w:after="0"/>
        <w:ind w:firstLine="1985"/>
        <w:jc w:val="both"/>
        <w:rPr>
          <w:color w:val="111111"/>
        </w:rPr>
      </w:pPr>
      <w:r>
        <w:rPr>
          <w:rFonts w:cs="Times New Roman" w:ascii="Times New Roman" w:hAnsi="Times New Roman"/>
          <w:color w:val="111111"/>
          <w:sz w:val="24"/>
          <w:szCs w:val="24"/>
        </w:rPr>
        <w:t>12.2. Além destas obrigações, ainda compete à CONTRATANTE:</w:t>
      </w:r>
    </w:p>
    <w:p>
      <w:pPr>
        <w:pStyle w:val="Normal"/>
        <w:spacing w:before="288" w:after="0"/>
        <w:ind w:firstLine="1985"/>
        <w:jc w:val="both"/>
        <w:rPr>
          <w:color w:val="111111"/>
        </w:rPr>
      </w:pPr>
      <w:r>
        <w:rPr>
          <w:rFonts w:cs="Times New Roman" w:ascii="Times New Roman" w:hAnsi="Times New Roman"/>
          <w:color w:val="111111"/>
          <w:sz w:val="24"/>
          <w:szCs w:val="24"/>
        </w:rPr>
        <w:t>12.2.1. Assegurar o livre acesso dos empregados da CONTRATADA, quando devidamente uniformizados e identificados, aos locais de execução do objeto;</w:t>
      </w:r>
    </w:p>
    <w:p>
      <w:pPr>
        <w:pStyle w:val="Normal"/>
        <w:spacing w:before="288" w:after="0"/>
        <w:ind w:firstLine="1985"/>
        <w:jc w:val="both"/>
        <w:rPr>
          <w:color w:val="111111"/>
        </w:rPr>
      </w:pPr>
      <w:r>
        <w:rPr>
          <w:rFonts w:cs="Times New Roman" w:ascii="Times New Roman" w:hAnsi="Times New Roman"/>
          <w:color w:val="111111"/>
          <w:sz w:val="24"/>
          <w:szCs w:val="24"/>
        </w:rPr>
        <w:t>12.2.2. Efetuar, quando julgar necessário, inspeção com a finalidade de verificar a execução do objeto e o atendimento das exigências contratuais;</w:t>
      </w:r>
    </w:p>
    <w:p>
      <w:pPr>
        <w:pStyle w:val="Normal"/>
        <w:spacing w:before="288" w:after="0"/>
        <w:ind w:firstLine="1985"/>
        <w:jc w:val="both"/>
        <w:rPr>
          <w:color w:val="111111"/>
        </w:rPr>
      </w:pPr>
      <w:r>
        <w:rPr>
          <w:rFonts w:cs="Times New Roman" w:ascii="Times New Roman" w:hAnsi="Times New Roman"/>
          <w:color w:val="111111"/>
          <w:sz w:val="24"/>
          <w:szCs w:val="24"/>
        </w:rPr>
        <w:t>12.2.3. Exigir o afastamento e/ou substituição imediata de empregado que não mereça confiança no trato com os serviços prestados, que adote posturas inadequadas ou incompatíveis com o exercício das atribuições que lhe foram designadas;</w:t>
      </w:r>
    </w:p>
    <w:p>
      <w:pPr>
        <w:pStyle w:val="Normal"/>
        <w:spacing w:before="288" w:after="0"/>
        <w:ind w:firstLine="1985"/>
        <w:jc w:val="both"/>
        <w:rPr>
          <w:color w:val="111111"/>
        </w:rPr>
      </w:pPr>
      <w:r>
        <w:rPr>
          <w:rFonts w:cs="Times New Roman" w:ascii="Times New Roman" w:hAnsi="Times New Roman"/>
          <w:color w:val="111111"/>
          <w:sz w:val="24"/>
          <w:szCs w:val="24"/>
        </w:rPr>
        <w:t>12.2.4. Impedir que terceiros, que não seja a empresa CONTRATADA, execute o objeto contratado;</w:t>
      </w:r>
    </w:p>
    <w:p>
      <w:pPr>
        <w:pStyle w:val="Normal"/>
        <w:spacing w:before="288" w:after="0"/>
        <w:ind w:firstLine="1985"/>
        <w:jc w:val="both"/>
        <w:rPr>
          <w:color w:val="111111"/>
        </w:rPr>
      </w:pPr>
      <w:r>
        <w:rPr>
          <w:rFonts w:cs="Times New Roman" w:ascii="Times New Roman" w:hAnsi="Times New Roman"/>
          <w:color w:val="111111"/>
          <w:sz w:val="24"/>
          <w:szCs w:val="24"/>
        </w:rPr>
        <w:t>12.2.5. Rejeitar o objeto em desacordo com as obrigações assumidas pela empresa CONTRATADA, e/ou que apresentem vícios, defeitos ou incorreções, exigindo sua correção e/ou substituição, no prazo estipulado pelo fiscal do contrato, sob pena de suspensão do contrato, ressalvados os casos fortuitos ou de força maior, devidamente justificados e aceitos pela CONTRATANTE;</w:t>
      </w:r>
    </w:p>
    <w:p>
      <w:pPr>
        <w:pStyle w:val="Normal"/>
        <w:spacing w:before="288" w:after="0"/>
        <w:ind w:firstLine="1985"/>
        <w:jc w:val="both"/>
        <w:rPr>
          <w:color w:val="111111"/>
        </w:rPr>
      </w:pPr>
      <w:r>
        <w:rPr>
          <w:rFonts w:cs="Times New Roman" w:ascii="Times New Roman" w:hAnsi="Times New Roman"/>
          <w:color w:val="111111"/>
          <w:sz w:val="24"/>
          <w:szCs w:val="24"/>
        </w:rPr>
        <w:t>12.2.6. Verificar, antes de cada pagamento, a manutenção das condições de habilitação da CONTRATADA, mediante consulta à Certidão Negativa ou Positiva com efeito de Negativa de Débitos Trabalhistas (CNDT), para comprovação, dentre outras coisas, do devido recolhimento das contribuições sociais (FGTS e Previdência Social) e demais tributos estaduais e federais, conforme cada caso, e demais documentação exigida no Contrato;</w:t>
      </w:r>
    </w:p>
    <w:p>
      <w:pPr>
        <w:pStyle w:val="Normal"/>
        <w:spacing w:before="288" w:after="0"/>
        <w:ind w:firstLine="1985"/>
        <w:jc w:val="both"/>
        <w:rPr>
          <w:color w:val="111111"/>
        </w:rPr>
      </w:pPr>
      <w:r>
        <w:rPr>
          <w:rFonts w:cs="Times New Roman" w:ascii="Times New Roman" w:hAnsi="Times New Roman"/>
          <w:color w:val="111111"/>
          <w:sz w:val="24"/>
          <w:szCs w:val="24"/>
        </w:rPr>
        <w:t>12.2.7. Proceder a vistorias nos locais onde o objeto está sendo executado, por meio do fiscal do contrato ou outros servidores devidamente designados, cientificando o preposto da CONTRATADA e determinando a imediata regularização das falhas eventualmente detectadas;</w:t>
      </w:r>
    </w:p>
    <w:p>
      <w:pPr>
        <w:pStyle w:val="Normal"/>
        <w:spacing w:before="288" w:after="0"/>
        <w:ind w:firstLine="1985"/>
        <w:jc w:val="both"/>
        <w:rPr>
          <w:color w:val="111111"/>
        </w:rPr>
      </w:pPr>
      <w:r>
        <w:rPr>
          <w:rFonts w:cs="Times New Roman" w:ascii="Times New Roman" w:hAnsi="Times New Roman"/>
          <w:color w:val="111111"/>
          <w:sz w:val="24"/>
          <w:szCs w:val="24"/>
        </w:rPr>
        <w:t>12.2.8. Aplicar à CONTRATADA as penalidades contratuais e regulamentares cabíveis, garantidos o contraditório e a ampla defesa;</w:t>
      </w:r>
    </w:p>
    <w:p>
      <w:pPr>
        <w:pStyle w:val="Normal"/>
        <w:spacing w:before="288" w:after="0"/>
        <w:jc w:val="both"/>
        <w:rPr>
          <w:color w:val="111111"/>
        </w:rPr>
      </w:pPr>
      <w:r>
        <w:rPr>
          <w:rFonts w:cs="Times New Roman" w:ascii="Times New Roman" w:hAnsi="Times New Roman"/>
          <w:color w:val="111111"/>
          <w:sz w:val="24"/>
          <w:szCs w:val="24"/>
        </w:rPr>
        <w:t>CLÁUSULA DÉCIMA TERCEIRA – DAS SANÇÕES</w:t>
      </w:r>
    </w:p>
    <w:p>
      <w:pPr>
        <w:pStyle w:val="Normal"/>
        <w:spacing w:before="288" w:after="0"/>
        <w:ind w:firstLine="1985"/>
        <w:jc w:val="both"/>
        <w:rPr>
          <w:color w:val="111111"/>
        </w:rPr>
      </w:pPr>
      <w:r>
        <w:rPr>
          <w:rFonts w:cs="Times New Roman" w:ascii="Times New Roman" w:hAnsi="Times New Roman"/>
          <w:color w:val="111111"/>
          <w:sz w:val="24"/>
          <w:szCs w:val="24"/>
        </w:rPr>
        <w:t>13.1. Pelo inadimplemento das obrigações, a contratada estará sujeita as aplicações das sanções conforme dispostas no art. 155 da Lei Federal n.º 14.133, de 2021, que seguem:</w:t>
      </w:r>
    </w:p>
    <w:p>
      <w:pPr>
        <w:pStyle w:val="Normal"/>
        <w:spacing w:before="288" w:after="0"/>
        <w:ind w:firstLine="1985"/>
        <w:jc w:val="both"/>
        <w:rPr>
          <w:color w:val="111111"/>
        </w:rPr>
      </w:pPr>
      <w:r>
        <w:rPr>
          <w:rFonts w:cs="Times New Roman" w:ascii="Times New Roman" w:hAnsi="Times New Roman"/>
          <w:color w:val="111111"/>
          <w:sz w:val="24"/>
          <w:szCs w:val="24"/>
        </w:rPr>
        <w:t>I – advertência;</w:t>
      </w:r>
    </w:p>
    <w:p>
      <w:pPr>
        <w:pStyle w:val="Normal"/>
        <w:spacing w:before="288" w:after="0"/>
        <w:ind w:firstLine="1985"/>
        <w:jc w:val="both"/>
        <w:rPr>
          <w:color w:val="111111"/>
        </w:rPr>
      </w:pPr>
      <w:r>
        <w:rPr>
          <w:rFonts w:cs="Times New Roman" w:ascii="Times New Roman" w:hAnsi="Times New Roman"/>
          <w:color w:val="111111"/>
          <w:sz w:val="24"/>
          <w:szCs w:val="24"/>
        </w:rPr>
        <w:t>II – multa;</w:t>
      </w:r>
    </w:p>
    <w:p>
      <w:pPr>
        <w:pStyle w:val="Normal"/>
        <w:spacing w:before="288" w:after="0"/>
        <w:ind w:firstLine="1985"/>
        <w:jc w:val="both"/>
        <w:rPr>
          <w:color w:val="111111"/>
        </w:rPr>
      </w:pPr>
      <w:r>
        <w:rPr>
          <w:rFonts w:cs="Times New Roman" w:ascii="Times New Roman" w:hAnsi="Times New Roman"/>
          <w:color w:val="111111"/>
          <w:sz w:val="24"/>
          <w:szCs w:val="24"/>
        </w:rPr>
        <w:t>a) compensatória; e</w:t>
      </w:r>
    </w:p>
    <w:p>
      <w:pPr>
        <w:pStyle w:val="Normal"/>
        <w:spacing w:before="288" w:after="0"/>
        <w:ind w:firstLine="1985"/>
        <w:jc w:val="both"/>
        <w:rPr>
          <w:color w:val="111111"/>
        </w:rPr>
      </w:pPr>
      <w:r>
        <w:rPr>
          <w:rFonts w:cs="Times New Roman" w:ascii="Times New Roman" w:hAnsi="Times New Roman"/>
          <w:color w:val="111111"/>
          <w:sz w:val="24"/>
          <w:szCs w:val="24"/>
        </w:rPr>
        <w:t>b) de mora.</w:t>
      </w:r>
    </w:p>
    <w:p>
      <w:pPr>
        <w:pStyle w:val="Normal"/>
        <w:spacing w:before="288" w:after="0"/>
        <w:ind w:firstLine="1985"/>
        <w:jc w:val="both"/>
        <w:rPr>
          <w:color w:val="111111"/>
        </w:rPr>
      </w:pPr>
      <w:r>
        <w:rPr>
          <w:rFonts w:cs="Times New Roman" w:ascii="Times New Roman" w:hAnsi="Times New Roman"/>
          <w:color w:val="111111"/>
          <w:sz w:val="24"/>
          <w:szCs w:val="24"/>
        </w:rPr>
        <w:t>III – impedimento de licitar e contratar;</w:t>
      </w:r>
    </w:p>
    <w:p>
      <w:pPr>
        <w:pStyle w:val="Normal"/>
        <w:spacing w:before="288" w:after="0"/>
        <w:ind w:firstLine="1985"/>
        <w:jc w:val="both"/>
        <w:rPr>
          <w:color w:val="111111"/>
        </w:rPr>
      </w:pPr>
      <w:r>
        <w:rPr>
          <w:rFonts w:cs="Times New Roman" w:ascii="Times New Roman" w:hAnsi="Times New Roman"/>
          <w:color w:val="111111"/>
          <w:sz w:val="24"/>
          <w:szCs w:val="24"/>
        </w:rPr>
        <w:t>IV – declaração de inidoneidade para licitar ou contratar.</w:t>
      </w:r>
    </w:p>
    <w:p>
      <w:pPr>
        <w:pStyle w:val="Normal"/>
        <w:spacing w:before="288" w:after="0"/>
        <w:ind w:firstLine="1985"/>
        <w:jc w:val="both"/>
        <w:rPr>
          <w:color w:val="111111"/>
        </w:rPr>
      </w:pPr>
      <w:r>
        <w:rPr>
          <w:rFonts w:cs="Times New Roman" w:ascii="Times New Roman" w:hAnsi="Times New Roman"/>
          <w:color w:val="111111"/>
          <w:sz w:val="24"/>
          <w:szCs w:val="24"/>
        </w:rPr>
        <w:t>13.1.1. A aplicação de multa de mora não impedirá que a Administração a converta em compensatória e promova a extinção unilateral do contrato com a aplicação cumulada de outras sanções previstas neste contrato.</w:t>
      </w:r>
    </w:p>
    <w:p>
      <w:pPr>
        <w:pStyle w:val="Normal"/>
        <w:spacing w:before="288" w:after="0"/>
        <w:ind w:firstLine="1985"/>
        <w:jc w:val="both"/>
        <w:rPr>
          <w:color w:val="111111"/>
        </w:rPr>
      </w:pPr>
      <w:r>
        <w:rPr>
          <w:rFonts w:cs="Times New Roman" w:ascii="Times New Roman" w:hAnsi="Times New Roman"/>
          <w:color w:val="111111"/>
          <w:sz w:val="24"/>
          <w:szCs w:val="24"/>
        </w:rPr>
        <w:t>13.1.2 As sanções previstas nos incisos I, III e IV do caput deste contrato poderão ser aplicadas cumulativamente com a prevista no inciso II, alínea “a” do caput deste contrato.</w:t>
      </w:r>
    </w:p>
    <w:p>
      <w:pPr>
        <w:pStyle w:val="Normal"/>
        <w:spacing w:before="288" w:after="0"/>
        <w:ind w:firstLine="1985"/>
        <w:jc w:val="both"/>
        <w:rPr>
          <w:color w:val="111111"/>
        </w:rPr>
      </w:pPr>
      <w:r>
        <w:rPr>
          <w:rFonts w:cs="Times New Roman" w:ascii="Times New Roman" w:hAnsi="Times New Roman"/>
          <w:color w:val="111111"/>
          <w:sz w:val="24"/>
          <w:szCs w:val="24"/>
        </w:rPr>
        <w:t>13.1.3. A sanção de advertência somente poderá ser aplicada de forma isolada em hipóteses de inexistência de prejuízo ao erário, ao funcionamento dos serviços públicos ou aos munícipes, ainda que indiretamente.</w:t>
      </w:r>
    </w:p>
    <w:p>
      <w:pPr>
        <w:pStyle w:val="Normal"/>
        <w:spacing w:before="288" w:after="0"/>
        <w:ind w:firstLine="1985"/>
        <w:jc w:val="both"/>
        <w:rPr>
          <w:color w:val="111111"/>
        </w:rPr>
      </w:pPr>
      <w:r>
        <w:rPr>
          <w:rFonts w:cs="Times New Roman" w:ascii="Times New Roman" w:hAnsi="Times New Roman"/>
          <w:color w:val="111111"/>
          <w:sz w:val="24"/>
          <w:szCs w:val="24"/>
        </w:rPr>
        <w:t>13.1.3.1. A advertência não poderá ser aplicada de forma isolada quando o fornecedor for reincidente.</w:t>
      </w:r>
    </w:p>
    <w:p>
      <w:pPr>
        <w:pStyle w:val="Normal"/>
        <w:spacing w:before="288" w:after="0"/>
        <w:ind w:firstLine="1985"/>
        <w:jc w:val="both"/>
        <w:rPr>
          <w:color w:val="111111"/>
        </w:rPr>
      </w:pPr>
      <w:r>
        <w:rPr>
          <w:rFonts w:cs="Times New Roman" w:ascii="Times New Roman" w:hAnsi="Times New Roman"/>
          <w:color w:val="111111"/>
          <w:sz w:val="24"/>
          <w:szCs w:val="24"/>
        </w:rPr>
        <w:t>13.1.4. A sanção de multa compensatória será aplicada ao responsável por qualquer das infrações administrativas previstas no art. 155 da Lei Federal n.º 14.133, de 2021, calculada na forma prevista no instrumento convocatório ou no contrato, não podendo ser inferior a 1% (um por cento) nem superior a 30% (trinta por cento) do valor contratado, observando-se os parâmetros dispostos nos arts. 5º e 11 do Decreto Municipal n.º 59/2024.</w:t>
      </w:r>
    </w:p>
    <w:p>
      <w:pPr>
        <w:pStyle w:val="Normal"/>
        <w:spacing w:before="288" w:after="0"/>
        <w:ind w:firstLine="1985"/>
        <w:jc w:val="both"/>
        <w:rPr>
          <w:color w:val="111111"/>
        </w:rPr>
      </w:pPr>
      <w:r>
        <w:rPr>
          <w:rFonts w:cs="Times New Roman" w:ascii="Times New Roman" w:hAnsi="Times New Roman"/>
          <w:color w:val="111111"/>
          <w:sz w:val="24"/>
          <w:szCs w:val="24"/>
        </w:rPr>
        <w:t>13.1.4.1. Ultrapassado o prazo de 15 (quinze) dias de atraso na execução do contrato, restará caracterizada a inexecução contratual, sem prejuízo da rescisão unilateral e a aplicação da multa compensatória.</w:t>
      </w:r>
    </w:p>
    <w:p>
      <w:pPr>
        <w:pStyle w:val="Normal"/>
        <w:spacing w:before="288" w:after="0"/>
        <w:ind w:firstLine="1985"/>
        <w:jc w:val="both"/>
        <w:rPr>
          <w:color w:val="111111"/>
        </w:rPr>
      </w:pPr>
      <w:r>
        <w:rPr>
          <w:rFonts w:cs="Times New Roman" w:ascii="Times New Roman" w:hAnsi="Times New Roman"/>
          <w:color w:val="111111"/>
          <w:sz w:val="24"/>
          <w:szCs w:val="24"/>
        </w:rPr>
        <w:t>13.1.4.2. A recusa em aceitar a nota de empenho, ordem de serviço ou ordem de fornecimento, sujeita à infratora a mesma penalidade aplicável pelo inadimplemento total da obrigação.</w:t>
      </w:r>
    </w:p>
    <w:p>
      <w:pPr>
        <w:pStyle w:val="Normal"/>
        <w:spacing w:before="288" w:after="0"/>
        <w:ind w:firstLine="1985"/>
        <w:jc w:val="both"/>
        <w:rPr>
          <w:color w:val="111111"/>
        </w:rPr>
      </w:pPr>
      <w:r>
        <w:rPr>
          <w:rFonts w:cs="Times New Roman" w:ascii="Times New Roman" w:hAnsi="Times New Roman"/>
          <w:color w:val="111111"/>
          <w:sz w:val="24"/>
          <w:szCs w:val="24"/>
        </w:rPr>
        <w:t>13.1.5. O valor da multa de mora ou compensatória aplicada será:</w:t>
      </w:r>
    </w:p>
    <w:p>
      <w:pPr>
        <w:pStyle w:val="Normal"/>
        <w:spacing w:before="288" w:after="0"/>
        <w:ind w:firstLine="1985"/>
        <w:jc w:val="both"/>
        <w:rPr>
          <w:color w:val="111111"/>
        </w:rPr>
      </w:pPr>
      <w:r>
        <w:rPr>
          <w:rFonts w:cs="Times New Roman" w:ascii="Times New Roman" w:hAnsi="Times New Roman"/>
          <w:color w:val="111111"/>
          <w:sz w:val="24"/>
          <w:szCs w:val="24"/>
        </w:rPr>
        <w:t>I – retido dos pagamentos devidos pelo órgão ou entidade, incluindo pagamentos decorrentes de outros contratos firmados com o contratado;</w:t>
      </w:r>
    </w:p>
    <w:p>
      <w:pPr>
        <w:pStyle w:val="Normal"/>
        <w:spacing w:before="288" w:after="0"/>
        <w:ind w:firstLine="1985"/>
        <w:jc w:val="both"/>
        <w:rPr>
          <w:color w:val="111111"/>
        </w:rPr>
      </w:pPr>
      <w:r>
        <w:rPr>
          <w:rFonts w:cs="Times New Roman" w:ascii="Times New Roman" w:hAnsi="Times New Roman"/>
          <w:color w:val="111111"/>
          <w:sz w:val="24"/>
          <w:szCs w:val="24"/>
        </w:rPr>
        <w:t>II – descontado do valor da garantia prestada, se houver;</w:t>
      </w:r>
    </w:p>
    <w:p>
      <w:pPr>
        <w:pStyle w:val="Normal"/>
        <w:spacing w:before="288" w:after="0"/>
        <w:ind w:firstLine="1985"/>
        <w:jc w:val="both"/>
        <w:rPr>
          <w:color w:val="111111"/>
        </w:rPr>
      </w:pPr>
      <w:r>
        <w:rPr>
          <w:rFonts w:cs="Times New Roman" w:ascii="Times New Roman" w:hAnsi="Times New Roman"/>
          <w:color w:val="111111"/>
          <w:sz w:val="24"/>
          <w:szCs w:val="24"/>
        </w:rPr>
        <w:t>III – pago por meio de documento próprio de arrecadação do Município; ou</w:t>
      </w:r>
    </w:p>
    <w:p>
      <w:pPr>
        <w:pStyle w:val="Normal"/>
        <w:spacing w:before="288" w:after="0"/>
        <w:ind w:firstLine="1985"/>
        <w:jc w:val="both"/>
        <w:rPr>
          <w:color w:val="111111"/>
        </w:rPr>
      </w:pPr>
      <w:r>
        <w:rPr>
          <w:rFonts w:cs="Times New Roman" w:ascii="Times New Roman" w:hAnsi="Times New Roman"/>
          <w:color w:val="111111"/>
          <w:sz w:val="24"/>
          <w:szCs w:val="24"/>
        </w:rPr>
        <w:t>IV – cobrado judicialmente.</w:t>
      </w:r>
    </w:p>
    <w:p>
      <w:pPr>
        <w:pStyle w:val="Normal"/>
        <w:spacing w:before="288" w:after="0"/>
        <w:ind w:firstLine="1985"/>
        <w:jc w:val="both"/>
        <w:rPr>
          <w:color w:val="111111"/>
        </w:rPr>
      </w:pPr>
      <w:r>
        <w:rPr>
          <w:rFonts w:cs="Times New Roman" w:ascii="Times New Roman" w:hAnsi="Times New Roman"/>
          <w:color w:val="111111"/>
          <w:sz w:val="24"/>
          <w:szCs w:val="24"/>
        </w:rPr>
        <w:t>13.1.5.1. O não pagamento do valor integral das multas arbitradas poderá ser objeto de protesto, nos termos do art. 1º da Lei Federal n.º 9.492 de 1997.</w:t>
      </w:r>
    </w:p>
    <w:p>
      <w:pPr>
        <w:pStyle w:val="Normal"/>
        <w:spacing w:before="288" w:after="0"/>
        <w:ind w:firstLine="1985"/>
        <w:jc w:val="both"/>
        <w:rPr>
          <w:color w:val="111111"/>
        </w:rPr>
      </w:pPr>
      <w:r>
        <w:rPr>
          <w:rFonts w:cs="Times New Roman" w:ascii="Times New Roman" w:hAnsi="Times New Roman"/>
          <w:color w:val="111111"/>
          <w:sz w:val="24"/>
          <w:szCs w:val="24"/>
        </w:rPr>
        <w:t>13.1.6. Será aplicada a sanção de impedimento de licitar e contratar com a Administração Pública Municipal, pelo prazo máximo de 3 (três) anos, quando não se justificar a imposição de penalidade mais grave, observando-se os parâmetros estabelecidos no arts. 7º e 11 do Decreto Municipal n.º 59/2024.</w:t>
      </w:r>
    </w:p>
    <w:p>
      <w:pPr>
        <w:pStyle w:val="Normal"/>
        <w:spacing w:before="288" w:after="0"/>
        <w:ind w:firstLine="1985"/>
        <w:jc w:val="both"/>
        <w:rPr>
          <w:color w:val="111111"/>
        </w:rPr>
      </w:pPr>
      <w:r>
        <w:rPr>
          <w:rFonts w:cs="Times New Roman" w:ascii="Times New Roman" w:hAnsi="Times New Roman"/>
          <w:color w:val="111111"/>
          <w:sz w:val="24"/>
          <w:szCs w:val="24"/>
        </w:rPr>
        <w:t>13.1.7. Será aplicada a sanção de declaração de inidoneidade para licitar e contratar com a Administração Pública direta e indireta, de todos os entes federativos, pelo prazo mínimo de 3 (três) e máximo de 6 (seis) anos, observando-se os parâmetros estabelecidos no art. 11 do Decreto Municipal n.º 59/2024, aos responsáveis pelas seguintes infrações:</w:t>
      </w:r>
    </w:p>
    <w:p>
      <w:pPr>
        <w:pStyle w:val="Normal"/>
        <w:spacing w:before="288" w:after="0"/>
        <w:ind w:firstLine="1985"/>
        <w:jc w:val="both"/>
        <w:rPr>
          <w:color w:val="111111"/>
        </w:rPr>
      </w:pPr>
      <w:r>
        <w:rPr>
          <w:rFonts w:cs="Times New Roman" w:ascii="Times New Roman" w:hAnsi="Times New Roman"/>
          <w:color w:val="111111"/>
          <w:sz w:val="24"/>
          <w:szCs w:val="24"/>
        </w:rPr>
        <w:t>I - apresentar declaração ou documentação falsa exigida para o certame ou prestar declaração falsa durante a licitação ou a execução do contrato;</w:t>
      </w:r>
    </w:p>
    <w:p>
      <w:pPr>
        <w:pStyle w:val="Normal"/>
        <w:spacing w:before="288" w:after="0"/>
        <w:ind w:firstLine="1985"/>
        <w:jc w:val="both"/>
        <w:rPr>
          <w:color w:val="111111"/>
        </w:rPr>
      </w:pPr>
      <w:r>
        <w:rPr>
          <w:rFonts w:cs="Times New Roman" w:ascii="Times New Roman" w:hAnsi="Times New Roman"/>
          <w:color w:val="111111"/>
          <w:sz w:val="24"/>
          <w:szCs w:val="24"/>
        </w:rPr>
        <w:t>II - fraudar a licitação ou praticar ato fraudulento na execução do contrato;</w:t>
      </w:r>
    </w:p>
    <w:p>
      <w:pPr>
        <w:pStyle w:val="Normal"/>
        <w:spacing w:before="288" w:after="0"/>
        <w:ind w:firstLine="1985"/>
        <w:jc w:val="both"/>
        <w:rPr>
          <w:color w:val="111111"/>
        </w:rPr>
      </w:pPr>
      <w:r>
        <w:rPr>
          <w:rFonts w:cs="Times New Roman" w:ascii="Times New Roman" w:hAnsi="Times New Roman"/>
          <w:color w:val="111111"/>
          <w:sz w:val="24"/>
          <w:szCs w:val="24"/>
        </w:rPr>
        <w:t>III - comportar-se de modo inidôneo ou cometer fraude de qualquer natureza;</w:t>
      </w:r>
    </w:p>
    <w:p>
      <w:pPr>
        <w:pStyle w:val="Normal"/>
        <w:spacing w:before="288" w:after="0"/>
        <w:ind w:firstLine="1985"/>
        <w:jc w:val="both"/>
        <w:rPr>
          <w:color w:val="111111"/>
        </w:rPr>
      </w:pPr>
      <w:r>
        <w:rPr>
          <w:rFonts w:cs="Times New Roman" w:ascii="Times New Roman" w:hAnsi="Times New Roman"/>
          <w:color w:val="111111"/>
          <w:sz w:val="24"/>
          <w:szCs w:val="24"/>
        </w:rPr>
        <w:t>IV - praticar atos ilícitos com vistas a frustrar os objetivos da licitação;</w:t>
      </w:r>
    </w:p>
    <w:p>
      <w:pPr>
        <w:pStyle w:val="Normal"/>
        <w:spacing w:before="288" w:after="0"/>
        <w:ind w:firstLine="1985"/>
        <w:jc w:val="both"/>
        <w:rPr>
          <w:color w:val="111111"/>
        </w:rPr>
      </w:pPr>
      <w:r>
        <w:rPr>
          <w:rFonts w:cs="Times New Roman" w:ascii="Times New Roman" w:hAnsi="Times New Roman"/>
          <w:color w:val="111111"/>
          <w:sz w:val="24"/>
          <w:szCs w:val="24"/>
        </w:rPr>
        <w:t>V - praticar ato lesivo previsto no art. 5º da Lei Federal n.º 12.846, de 1º de agosto de 2013.</w:t>
      </w:r>
    </w:p>
    <w:p>
      <w:pPr>
        <w:pStyle w:val="Normal"/>
        <w:spacing w:before="288" w:after="0"/>
        <w:ind w:firstLine="1985"/>
        <w:jc w:val="both"/>
        <w:rPr>
          <w:color w:val="111111"/>
        </w:rPr>
      </w:pPr>
      <w:r>
        <w:rPr>
          <w:rFonts w:cs="Times New Roman" w:ascii="Times New Roman" w:hAnsi="Times New Roman"/>
          <w:color w:val="111111"/>
          <w:sz w:val="24"/>
          <w:szCs w:val="24"/>
        </w:rPr>
        <w:t>13.1.7.1. Os demais procedimentos relativos às apurações de infrações, aplicação de sanções administrativas aos fornecedores, bem como as respectivas dosimetrias destas, serão regidos pelo Decreto Municipal n.º 59, de 8 de Fevereiro de 2024 e pela Lei Federal n.º 14.133, de 1º de Abril de 2021.</w:t>
      </w:r>
    </w:p>
    <w:p>
      <w:pPr>
        <w:pStyle w:val="Normal"/>
        <w:spacing w:before="288" w:after="0"/>
        <w:jc w:val="both"/>
        <w:rPr>
          <w:color w:val="111111"/>
        </w:rPr>
      </w:pPr>
      <w:r>
        <w:rPr>
          <w:rFonts w:cs="Times New Roman" w:ascii="Times New Roman" w:hAnsi="Times New Roman"/>
          <w:color w:val="111111"/>
          <w:sz w:val="24"/>
          <w:szCs w:val="24"/>
        </w:rPr>
        <w:t>CLÁUSULA DÉCIMA QUARTA– DAS OBRIGAÇÕES PERTINENTES À LGPD</w:t>
      </w:r>
    </w:p>
    <w:p>
      <w:pPr>
        <w:pStyle w:val="Normal"/>
        <w:spacing w:before="288" w:after="0"/>
        <w:ind w:firstLine="1985"/>
        <w:jc w:val="both"/>
        <w:rPr>
          <w:color w:val="111111"/>
        </w:rPr>
      </w:pPr>
      <w:r>
        <w:rPr>
          <w:rFonts w:cs="Times New Roman" w:ascii="Times New Roman" w:hAnsi="Times New Roman"/>
          <w:color w:val="111111"/>
          <w:sz w:val="24"/>
          <w:szCs w:val="24"/>
        </w:rPr>
        <w:t>14.1. As partes deverão cumprir a Lei n.º 13.709,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pPr>
        <w:pStyle w:val="Normal"/>
        <w:spacing w:before="288" w:after="0"/>
        <w:ind w:firstLine="1985"/>
        <w:jc w:val="both"/>
        <w:rPr>
          <w:color w:val="111111"/>
        </w:rPr>
      </w:pPr>
      <w:r>
        <w:rPr>
          <w:rFonts w:cs="Times New Roman" w:ascii="Times New Roman" w:hAnsi="Times New Roman"/>
          <w:color w:val="111111"/>
          <w:sz w:val="24"/>
          <w:szCs w:val="24"/>
        </w:rPr>
        <w:t>14.2. Os dados obtidos somente poderão ser utilizados para as finalidades que justificaram seu acesso e de acordo com a boa-fé e com os princípios do art. 6º da LGPD.</w:t>
      </w:r>
    </w:p>
    <w:p>
      <w:pPr>
        <w:pStyle w:val="Normal"/>
        <w:spacing w:before="288" w:after="0"/>
        <w:ind w:firstLine="1985"/>
        <w:jc w:val="both"/>
        <w:rPr>
          <w:color w:val="111111"/>
        </w:rPr>
      </w:pPr>
      <w:r>
        <w:rPr>
          <w:rFonts w:cs="Times New Roman" w:ascii="Times New Roman" w:hAnsi="Times New Roman"/>
          <w:color w:val="111111"/>
          <w:sz w:val="24"/>
          <w:szCs w:val="24"/>
        </w:rPr>
        <w:t>14.3. É vedado o compartilhamento com terceiros dos dados obtidos fora das hipóteses permitidas em Lei.</w:t>
      </w:r>
    </w:p>
    <w:p>
      <w:pPr>
        <w:pStyle w:val="Normal"/>
        <w:spacing w:before="288" w:after="0"/>
        <w:ind w:firstLine="1985"/>
        <w:jc w:val="both"/>
        <w:rPr>
          <w:color w:val="111111"/>
        </w:rPr>
      </w:pPr>
      <w:r>
        <w:rPr>
          <w:rFonts w:cs="Times New Roman" w:ascii="Times New Roman" w:hAnsi="Times New Roman"/>
          <w:color w:val="111111"/>
          <w:sz w:val="24"/>
          <w:szCs w:val="24"/>
        </w:rPr>
        <w:t>14.4. A Administração deverá ser informada no prazo de 5 (cinco) dias úteis sobre todos os contratos de suboperação firmados ou que venham a ser celebrados pela CONTRATADA.</w:t>
      </w:r>
    </w:p>
    <w:p>
      <w:pPr>
        <w:pStyle w:val="Normal"/>
        <w:spacing w:before="288" w:after="0"/>
        <w:ind w:firstLine="1985"/>
        <w:jc w:val="both"/>
        <w:rPr>
          <w:color w:val="111111"/>
        </w:rPr>
      </w:pPr>
      <w:r>
        <w:rPr>
          <w:rFonts w:cs="Times New Roman" w:ascii="Times New Roman" w:hAnsi="Times New Roman"/>
          <w:color w:val="111111"/>
          <w:sz w:val="24"/>
          <w:szCs w:val="24"/>
        </w:rPr>
        <w:t xml:space="preserve">14.5. Terminado o tratamento dos dados nos termos do art. 15 da LGPD, é dever da CONTRATADA eliminá-los, com exceção das hipóteses do art. 16 da LGPD, incluindo aquelas em que houver necessidade de guarda de documentação para fins de comprovação do cumprimento de obrigações legais ou contratuais e somente enquanto não prescritas essas obrigações. </w:t>
      </w:r>
    </w:p>
    <w:p>
      <w:pPr>
        <w:pStyle w:val="Normal"/>
        <w:spacing w:before="288" w:after="0"/>
        <w:ind w:firstLine="1985"/>
        <w:jc w:val="both"/>
        <w:rPr>
          <w:color w:val="111111"/>
        </w:rPr>
      </w:pPr>
      <w:r>
        <w:rPr>
          <w:rFonts w:cs="Times New Roman" w:ascii="Times New Roman" w:hAnsi="Times New Roman"/>
          <w:color w:val="111111"/>
          <w:sz w:val="24"/>
          <w:szCs w:val="24"/>
        </w:rPr>
        <w:t xml:space="preserve">14.6. É dever da CONTRATADA orientar e treinar seus empregados sobre os deveres, requisitos e responsabilidades decorrentes da LGPD. </w:t>
      </w:r>
    </w:p>
    <w:p>
      <w:pPr>
        <w:pStyle w:val="Normal"/>
        <w:spacing w:before="288" w:after="0"/>
        <w:ind w:firstLine="1985"/>
        <w:jc w:val="both"/>
        <w:rPr>
          <w:color w:val="111111"/>
        </w:rPr>
      </w:pPr>
      <w:r>
        <w:rPr>
          <w:rFonts w:cs="Times New Roman" w:ascii="Times New Roman" w:hAnsi="Times New Roman"/>
          <w:color w:val="111111"/>
          <w:sz w:val="24"/>
          <w:szCs w:val="24"/>
        </w:rPr>
        <w:t>14.7. A CONTRATADA deverá exigir de SUBOPERADORES e SUBCONTRATADOS o cumprimento dos deveres da presente cláusula, permanecendo integralmente responsável por garantir sua observância.</w:t>
      </w:r>
    </w:p>
    <w:p>
      <w:pPr>
        <w:pStyle w:val="Normal"/>
        <w:spacing w:before="288" w:after="0"/>
        <w:ind w:firstLine="1985"/>
        <w:jc w:val="both"/>
        <w:rPr>
          <w:color w:val="111111"/>
        </w:rPr>
      </w:pPr>
      <w:r>
        <w:rPr>
          <w:rFonts w:cs="Times New Roman" w:ascii="Times New Roman" w:hAnsi="Times New Roman"/>
          <w:color w:val="111111"/>
          <w:sz w:val="24"/>
          <w:szCs w:val="24"/>
        </w:rPr>
        <w:t xml:space="preserve">14.8. O CONTRATANTE poderá realizar diligência para aferir o cumprimento dessa cláusula, devendo a CONTRATADA atender prontamente eventuais pedidos de comprovação formulados. </w:t>
      </w:r>
    </w:p>
    <w:p>
      <w:pPr>
        <w:pStyle w:val="Normal"/>
        <w:spacing w:before="288" w:after="0"/>
        <w:ind w:firstLine="1985"/>
        <w:jc w:val="both"/>
        <w:rPr>
          <w:color w:val="111111"/>
        </w:rPr>
      </w:pPr>
      <w:r>
        <w:rPr>
          <w:rFonts w:cs="Times New Roman" w:ascii="Times New Roman" w:hAnsi="Times New Roman"/>
          <w:color w:val="111111"/>
          <w:sz w:val="24"/>
          <w:szCs w:val="24"/>
        </w:rPr>
        <w:t xml:space="preserve">14.9. A CONTRATADA deverá prestar, no prazo fixado pelo CONTRATANTE, prorrogável justificadamente, quaisquer informações acerca dos dados pessoais para cumprimento da LGPD, inclusive quanto a eventual descarte realizado. </w:t>
      </w:r>
    </w:p>
    <w:p>
      <w:pPr>
        <w:pStyle w:val="Normal"/>
        <w:spacing w:before="288" w:after="0"/>
        <w:ind w:firstLine="1985"/>
        <w:jc w:val="both"/>
        <w:rPr>
          <w:color w:val="111111"/>
        </w:rPr>
      </w:pPr>
      <w:r>
        <w:rPr>
          <w:rFonts w:cs="Times New Roman" w:ascii="Times New Roman" w:hAnsi="Times New Roman"/>
          <w:color w:val="111111"/>
          <w:sz w:val="24"/>
          <w:szCs w:val="24"/>
        </w:rPr>
        <w:t>14.10. 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pPr>
        <w:pStyle w:val="Normal"/>
        <w:spacing w:before="288" w:after="0"/>
        <w:ind w:firstLine="1985"/>
        <w:jc w:val="both"/>
        <w:rPr>
          <w:color w:val="111111"/>
        </w:rPr>
      </w:pPr>
      <w:r>
        <w:rPr>
          <w:rFonts w:cs="Times New Roman" w:ascii="Times New Roman" w:hAnsi="Times New Roman"/>
          <w:color w:val="111111"/>
          <w:sz w:val="24"/>
          <w:szCs w:val="24"/>
        </w:rPr>
        <w:t>14.10.1. Os referidos bancos de dados devem ser desenvolvidos em formato interoperável, a fim de garantir a reutilização desses dados pela Administração nas hipóteses previstas na LGPD.</w:t>
      </w:r>
    </w:p>
    <w:p>
      <w:pPr>
        <w:pStyle w:val="Normal"/>
        <w:spacing w:before="288" w:after="0"/>
        <w:ind w:firstLine="1985"/>
        <w:jc w:val="both"/>
        <w:rPr>
          <w:color w:val="111111"/>
        </w:rPr>
      </w:pPr>
      <w:r>
        <w:rPr>
          <w:rFonts w:cs="Times New Roman" w:ascii="Times New Roman" w:hAnsi="Times New Roman"/>
          <w:color w:val="111111"/>
          <w:sz w:val="24"/>
          <w:szCs w:val="24"/>
        </w:rPr>
        <w:t>14.11. O Contrato está sujeito a ser alterado nos procedimentos pertinentes ao tratamento de dados pessoais, quando indicado pela autoridade competente, em especial a ANPD, por meio de opiniões técnicas ou recomendações, editadas na forma da LGPD.</w:t>
      </w:r>
    </w:p>
    <w:p>
      <w:pPr>
        <w:pStyle w:val="Normal"/>
        <w:spacing w:before="288" w:after="0"/>
        <w:ind w:firstLine="1985"/>
        <w:jc w:val="both"/>
        <w:rPr>
          <w:color w:val="111111"/>
        </w:rPr>
      </w:pPr>
      <w:r>
        <w:rPr>
          <w:rFonts w:cs="Times New Roman" w:ascii="Times New Roman" w:hAnsi="Times New Roman"/>
          <w:color w:val="111111"/>
          <w:sz w:val="24"/>
          <w:szCs w:val="24"/>
        </w:rPr>
        <w:t>14.12. Os contratos e convênios de que trata o § 1º do art. 26 da LGPD deverão ser comunicados à autoridade nacional.</w:t>
      </w:r>
    </w:p>
    <w:p>
      <w:pPr>
        <w:pStyle w:val="Normal"/>
        <w:spacing w:before="288" w:after="0"/>
        <w:jc w:val="both"/>
        <w:rPr>
          <w:color w:val="111111"/>
        </w:rPr>
      </w:pPr>
      <w:r>
        <w:rPr>
          <w:rFonts w:cs="Times New Roman" w:ascii="Times New Roman" w:hAnsi="Times New Roman"/>
          <w:color w:val="111111"/>
          <w:sz w:val="24"/>
          <w:szCs w:val="24"/>
        </w:rPr>
        <w:t>CLÁUSULA DÉCIMA QUINTA – DAS HIPÓTESES DE ALTERAÇÃO E EXTINÇÃO CONTRATUAL</w:t>
      </w:r>
    </w:p>
    <w:p>
      <w:pPr>
        <w:pStyle w:val="Normal"/>
        <w:spacing w:before="288" w:after="0"/>
        <w:ind w:firstLine="1985"/>
        <w:jc w:val="both"/>
        <w:rPr>
          <w:color w:val="111111"/>
        </w:rPr>
      </w:pPr>
      <w:r>
        <w:rPr>
          <w:rFonts w:cs="Times New Roman" w:ascii="Times New Roman" w:hAnsi="Times New Roman"/>
          <w:color w:val="111111"/>
          <w:sz w:val="24"/>
          <w:szCs w:val="24"/>
        </w:rPr>
        <w:t>15.1. O contrato será extinto, via de regra, quando cumpridas as obrigações de ambas as partes contraentes.</w:t>
      </w:r>
    </w:p>
    <w:p>
      <w:pPr>
        <w:pStyle w:val="Normal"/>
        <w:spacing w:before="288" w:after="0"/>
        <w:ind w:firstLine="1985"/>
        <w:jc w:val="both"/>
        <w:rPr>
          <w:color w:val="111111"/>
        </w:rPr>
      </w:pPr>
      <w:r>
        <w:rPr>
          <w:rFonts w:cs="Times New Roman" w:ascii="Times New Roman" w:hAnsi="Times New Roman"/>
          <w:color w:val="111111"/>
          <w:sz w:val="24"/>
          <w:szCs w:val="24"/>
        </w:rPr>
        <w:t>15.2. O presente Contrato poderá ser alterado na forma e parâmetros estabelecidos nos arts. 124 a 135 da Lei n.º 14.133/2021.</w:t>
      </w:r>
    </w:p>
    <w:p>
      <w:pPr>
        <w:pStyle w:val="Normal"/>
        <w:spacing w:before="288" w:after="0"/>
        <w:jc w:val="both"/>
        <w:rPr>
          <w:color w:val="111111"/>
        </w:rPr>
      </w:pPr>
      <w:r>
        <w:rPr>
          <w:rFonts w:cs="Times New Roman" w:ascii="Times New Roman" w:hAnsi="Times New Roman"/>
          <w:color w:val="111111"/>
          <w:sz w:val="24"/>
          <w:szCs w:val="24"/>
        </w:rPr>
        <w:t>CLÁUSULA DÉCIMA SEXTA – DA REGÊNCIA E DA VINCULAÇÃO</w:t>
      </w:r>
    </w:p>
    <w:p>
      <w:pPr>
        <w:pStyle w:val="Normal"/>
        <w:spacing w:before="288" w:after="0"/>
        <w:ind w:firstLine="1985"/>
        <w:jc w:val="both"/>
        <w:rPr>
          <w:color w:val="111111"/>
        </w:rPr>
      </w:pPr>
      <w:r>
        <w:rPr>
          <w:rFonts w:cs="Times New Roman" w:ascii="Times New Roman" w:hAnsi="Times New Roman"/>
          <w:color w:val="111111"/>
          <w:sz w:val="24"/>
          <w:szCs w:val="24"/>
        </w:rPr>
        <w:t xml:space="preserve">16.1. O presente Contrato rege-se pelas cláusulas nele constantes, pelas especificações do Processo Administrativo n.º </w:t>
      </w:r>
      <w:r>
        <w:rPr>
          <w:rFonts w:cs="Times New Roman" w:ascii="Times New Roman" w:hAnsi="Times New Roman"/>
          <w:color w:val="111111"/>
          <w:sz w:val="24"/>
          <w:szCs w:val="24"/>
        </w:rPr>
        <w:t>2_.0._________-_</w:t>
      </w:r>
      <w:r>
        <w:rPr>
          <w:rFonts w:cs="Times New Roman" w:ascii="Times New Roman" w:hAnsi="Times New Roman"/>
          <w:color w:val="111111"/>
          <w:sz w:val="24"/>
          <w:szCs w:val="24"/>
        </w:rPr>
        <w:t>, do Termo de Referência e pela Proposta apresentada pela CONTRATADA, bem como das disposições constantes da Lei n.º 14.133/2021.</w:t>
      </w:r>
    </w:p>
    <w:p>
      <w:pPr>
        <w:pStyle w:val="Normal"/>
        <w:spacing w:before="288" w:after="0"/>
        <w:jc w:val="both"/>
        <w:rPr>
          <w:color w:val="111111"/>
        </w:rPr>
      </w:pPr>
      <w:r>
        <w:rPr>
          <w:rFonts w:cs="Times New Roman" w:ascii="Times New Roman" w:hAnsi="Times New Roman"/>
          <w:color w:val="111111"/>
          <w:sz w:val="24"/>
          <w:szCs w:val="24"/>
        </w:rPr>
        <w:t>CLÁUSULA DÉCIMA SÉTIMA – DA RESPONSABILIDADE CIVIL</w:t>
      </w:r>
    </w:p>
    <w:p>
      <w:pPr>
        <w:pStyle w:val="Normal"/>
        <w:spacing w:before="288" w:after="0"/>
        <w:ind w:firstLine="1985"/>
        <w:jc w:val="both"/>
        <w:rPr>
          <w:color w:val="111111"/>
        </w:rPr>
      </w:pPr>
      <w:r>
        <w:rPr>
          <w:rFonts w:cs="Times New Roman" w:ascii="Times New Roman" w:hAnsi="Times New Roman"/>
          <w:color w:val="111111"/>
          <w:sz w:val="24"/>
          <w:szCs w:val="24"/>
        </w:rPr>
        <w:t>17.1. A CONTRATADA é responsável pelos danos causados diretamente ao CONTRATANTE ou a terceiros, nos moldes da legislação de regência, não excluindo ou reduzindo essa responsabilidade à fiscalização do CONTRATANTE.</w:t>
      </w:r>
    </w:p>
    <w:p>
      <w:pPr>
        <w:pStyle w:val="Normal"/>
        <w:spacing w:before="288" w:after="0"/>
        <w:jc w:val="both"/>
        <w:rPr>
          <w:color w:val="111111"/>
        </w:rPr>
      </w:pPr>
      <w:r>
        <w:rPr>
          <w:rFonts w:cs="Times New Roman" w:ascii="Times New Roman" w:hAnsi="Times New Roman"/>
          <w:color w:val="111111"/>
          <w:sz w:val="24"/>
          <w:szCs w:val="24"/>
        </w:rPr>
        <w:t>CLÁUSULA DÉCIMA OITAVA – DAS DISPOSIÇÕES FINAIS</w:t>
      </w:r>
    </w:p>
    <w:p>
      <w:pPr>
        <w:pStyle w:val="Normal"/>
        <w:spacing w:before="288" w:after="0"/>
        <w:ind w:firstLine="1985"/>
        <w:jc w:val="both"/>
        <w:rPr>
          <w:color w:val="111111"/>
        </w:rPr>
      </w:pPr>
      <w:r>
        <w:rPr>
          <w:rFonts w:cs="Times New Roman" w:ascii="Times New Roman" w:hAnsi="Times New Roman"/>
          <w:color w:val="111111"/>
          <w:sz w:val="24"/>
          <w:szCs w:val="24"/>
        </w:rPr>
        <w:t>18.1. A CONTRATANTE é responsável por disponibilizar acesso aos documentos e à legislação relacionada com o objeto do presente contrato.</w:t>
      </w:r>
    </w:p>
    <w:p>
      <w:pPr>
        <w:pStyle w:val="Normal"/>
        <w:spacing w:before="288" w:after="0"/>
        <w:ind w:firstLine="1985"/>
        <w:jc w:val="both"/>
        <w:rPr>
          <w:color w:val="111111"/>
        </w:rPr>
      </w:pPr>
      <w:r>
        <w:rPr>
          <w:rFonts w:cs="Times New Roman" w:ascii="Times New Roman" w:hAnsi="Times New Roman"/>
          <w:color w:val="111111"/>
          <w:sz w:val="24"/>
          <w:szCs w:val="24"/>
        </w:rPr>
        <w:t>18.2. A CONTRATADA não pode fazer uso ou divulgar dados e informações relacionadas com este Contrato a terceiros ou a servidores da CONTRATANTE não designado para interagir junto às atividades descritas na Cláusula Primeira.</w:t>
      </w:r>
    </w:p>
    <w:p>
      <w:pPr>
        <w:pStyle w:val="Normal"/>
        <w:spacing w:before="288" w:after="0"/>
        <w:ind w:firstLine="1985"/>
        <w:jc w:val="both"/>
        <w:rPr>
          <w:color w:val="111111"/>
        </w:rPr>
      </w:pPr>
      <w:bookmarkStart w:id="9" w:name="_heading=h.xd5b80qkkzm"/>
      <w:bookmarkEnd w:id="9"/>
      <w:r>
        <w:rPr>
          <w:rFonts w:cs="Times New Roman" w:ascii="Times New Roman" w:hAnsi="Times New Roman"/>
          <w:color w:val="111111"/>
          <w:sz w:val="24"/>
          <w:szCs w:val="24"/>
        </w:rPr>
        <w:t>18.3. Os casos omissos ou situações não explicitadas nas cláusulas deste contrato reger-se-ão pelas disposições contidas na Lei n.º 14.133/2021 e demais normas e princípios gerais dos contratos.</w:t>
      </w:r>
    </w:p>
    <w:p>
      <w:pPr>
        <w:pStyle w:val="Normal"/>
        <w:spacing w:before="288" w:after="0"/>
        <w:jc w:val="both"/>
        <w:rPr>
          <w:color w:val="111111"/>
        </w:rPr>
      </w:pPr>
      <w:r>
        <w:rPr>
          <w:rFonts w:cs="Times New Roman" w:ascii="Times New Roman" w:hAnsi="Times New Roman"/>
          <w:color w:val="111111"/>
          <w:sz w:val="24"/>
          <w:szCs w:val="24"/>
        </w:rPr>
        <w:t>CLÁUSULA DÉCIMA NONA – DO FORO</w:t>
      </w:r>
    </w:p>
    <w:p>
      <w:pPr>
        <w:pStyle w:val="Normal"/>
        <w:spacing w:before="288" w:after="0"/>
        <w:ind w:firstLine="1985"/>
        <w:jc w:val="both"/>
        <w:rPr>
          <w:color w:val="111111"/>
        </w:rPr>
      </w:pPr>
      <w:r>
        <w:rPr>
          <w:rFonts w:cs="Times New Roman" w:ascii="Times New Roman" w:hAnsi="Times New Roman"/>
          <w:color w:val="111111"/>
          <w:sz w:val="24"/>
          <w:szCs w:val="24"/>
        </w:rPr>
        <w:t>19.1. As controvérsias decorrentes da execução do presente instrumento que não puderem ser solucionadas diretamente por mútuo acordo entre os partícipes deverão ser encaminhadas à Procuradoria-Geral do Município de Canoas, para prévia tentativa de conciliação e solução administrativa de dúvidas de natureza eminentemente jurídica relacionada à execução da parceria.</w:t>
      </w:r>
    </w:p>
    <w:p>
      <w:pPr>
        <w:pStyle w:val="Normal"/>
        <w:spacing w:before="288" w:after="0"/>
        <w:ind w:firstLine="1985"/>
        <w:jc w:val="both"/>
        <w:rPr>
          <w:color w:val="111111"/>
        </w:rPr>
      </w:pPr>
      <w:r>
        <w:rPr>
          <w:rFonts w:cs="Times New Roman" w:ascii="Times New Roman" w:hAnsi="Times New Roman"/>
          <w:color w:val="111111"/>
          <w:sz w:val="24"/>
          <w:szCs w:val="24"/>
        </w:rPr>
        <w:t>19.2. Não logrando êxito a tentativa de conciliação e solução administrativa, será competente para dirimir as questões decorrentes deste instrumento o foro da Comarca de Canoas. </w:t>
      </w:r>
    </w:p>
    <w:p>
      <w:pPr>
        <w:pStyle w:val="Normal"/>
        <w:spacing w:before="288" w:after="0"/>
        <w:ind w:firstLine="1985"/>
        <w:jc w:val="both"/>
        <w:rPr>
          <w:color w:val="111111"/>
        </w:rPr>
      </w:pPr>
      <w:bookmarkStart w:id="10" w:name="_heading=h.o3liecxvozdl"/>
      <w:bookmarkEnd w:id="10"/>
      <w:r>
        <w:rPr>
          <w:rFonts w:cs="Times New Roman" w:ascii="Times New Roman" w:hAnsi="Times New Roman"/>
          <w:color w:val="111111"/>
          <w:sz w:val="24"/>
          <w:szCs w:val="24"/>
        </w:rPr>
        <w:t>19.3. E, por estarem, assim, justos e acordados, os partícipes firmam o presente instrumento em formato eletrônico, para os devidos efeitos legais.</w:t>
      </w:r>
    </w:p>
    <w:p>
      <w:pPr>
        <w:pStyle w:val="Normal"/>
        <w:spacing w:before="288" w:after="0"/>
        <w:ind w:firstLine="1985"/>
        <w:jc w:val="both"/>
        <w:rPr>
          <w:color w:val="111111"/>
        </w:rPr>
      </w:pPr>
      <w:r>
        <w:rPr>
          <w:rFonts w:cs="Times New Roman" w:ascii="Times New Roman" w:hAnsi="Times New Roman"/>
          <w:color w:val="111111"/>
          <w:sz w:val="24"/>
          <w:szCs w:val="24"/>
        </w:rPr>
        <w:t xml:space="preserve">MUNICÍPIO DE CANOAS, aos ___________________ dias do mês de ___________________do ano de dois mil e vinte e </w:t>
      </w:r>
      <w:r>
        <w:rPr>
          <w:rFonts w:cs="Times New Roman" w:ascii="Times New Roman" w:hAnsi="Times New Roman"/>
          <w:color w:val="111111"/>
          <w:sz w:val="24"/>
          <w:szCs w:val="24"/>
        </w:rPr>
        <w:t>____ (____/____/202_).</w:t>
      </w:r>
    </w:p>
    <w:p>
      <w:pPr>
        <w:pStyle w:val="Normal"/>
        <w:spacing w:before="288" w:after="0"/>
        <w:jc w:val="both"/>
        <w:rPr>
          <w:rFonts w:ascii="Times New Roman" w:hAnsi="Times New Roman" w:cs="Times New Roman"/>
          <w:color w:val="111111"/>
          <w:sz w:val="24"/>
          <w:szCs w:val="24"/>
        </w:rPr>
      </w:pPr>
      <w:r>
        <w:rPr>
          <w:rFonts w:cs="Times New Roman" w:ascii="Times New Roman" w:hAnsi="Times New Roman"/>
          <w:color w:val="111111"/>
          <w:sz w:val="24"/>
          <w:szCs w:val="24"/>
        </w:rPr>
      </w:r>
    </w:p>
    <w:p>
      <w:pPr>
        <w:pStyle w:val="Normal"/>
        <w:spacing w:before="288" w:after="0"/>
        <w:jc w:val="both"/>
        <w:rPr>
          <w:rFonts w:ascii="Times New Roman" w:hAnsi="Times New Roman" w:cs="Times New Roman"/>
          <w:color w:val="111111"/>
          <w:sz w:val="24"/>
          <w:szCs w:val="24"/>
        </w:rPr>
      </w:pPr>
      <w:r>
        <w:rPr>
          <w:rFonts w:cs="Times New Roman" w:ascii="Times New Roman" w:hAnsi="Times New Roman"/>
          <w:color w:val="111111"/>
          <w:sz w:val="24"/>
          <w:szCs w:val="24"/>
        </w:rPr>
      </w:r>
    </w:p>
    <w:tbl>
      <w:tblPr>
        <w:tblW w:w="9061" w:type="dxa"/>
        <w:jc w:val="start"/>
        <w:tblInd w:w="0" w:type="dxa"/>
        <w:tblLayout w:type="fixed"/>
        <w:tblCellMar>
          <w:top w:w="0" w:type="dxa"/>
          <w:start w:w="108" w:type="dxa"/>
          <w:bottom w:w="0" w:type="dxa"/>
          <w:end w:w="108" w:type="dxa"/>
        </w:tblCellMar>
        <w:tblLook w:val="0400" w:firstRow="0" w:noVBand="1" w:lastRow="0" w:firstColumn="0" w:lastColumn="0" w:noHBand="0"/>
      </w:tblPr>
      <w:tblGrid>
        <w:gridCol w:w="4530"/>
        <w:gridCol w:w="4531"/>
      </w:tblGrid>
      <w:tr>
        <w:trPr/>
        <w:tc>
          <w:tcPr>
            <w:tcW w:w="4530" w:type="dxa"/>
            <w:tcBorders/>
          </w:tcPr>
          <w:p>
            <w:pPr>
              <w:pStyle w:val="Normal"/>
              <w:jc w:val="both"/>
              <w:rPr>
                <w:color w:val="111111"/>
              </w:rPr>
            </w:pPr>
            <w:r>
              <w:rPr>
                <w:rFonts w:cs="Times New Roman" w:ascii="Times New Roman" w:hAnsi="Times New Roman"/>
                <w:color w:val="111111"/>
                <w:sz w:val="24"/>
                <w:szCs w:val="24"/>
              </w:rPr>
              <w:t>__________________________________</w:t>
            </w:r>
          </w:p>
          <w:p>
            <w:pPr>
              <w:pStyle w:val="Normal"/>
              <w:jc w:val="both"/>
              <w:rPr>
                <w:color w:val="111111"/>
              </w:rPr>
            </w:pPr>
            <w:r>
              <w:rPr>
                <w:rFonts w:cs="Times New Roman" w:ascii="Times New Roman" w:hAnsi="Times New Roman"/>
                <w:color w:val="111111"/>
                <w:sz w:val="24"/>
                <w:szCs w:val="24"/>
              </w:rPr>
              <w:t>AIRTON SOUZA</w:t>
            </w:r>
          </w:p>
          <w:p>
            <w:pPr>
              <w:pStyle w:val="Normal"/>
              <w:jc w:val="both"/>
              <w:rPr>
                <w:color w:val="111111"/>
              </w:rPr>
            </w:pPr>
            <w:r>
              <w:rPr>
                <w:rFonts w:cs="Times New Roman" w:ascii="Times New Roman" w:hAnsi="Times New Roman"/>
                <w:color w:val="111111"/>
                <w:sz w:val="24"/>
                <w:szCs w:val="24"/>
              </w:rPr>
              <w:t>Prefeito Municipal</w:t>
            </w:r>
          </w:p>
        </w:tc>
        <w:tc>
          <w:tcPr>
            <w:tcW w:w="4531" w:type="dxa"/>
            <w:tcBorders/>
          </w:tcPr>
          <w:p>
            <w:pPr>
              <w:pStyle w:val="Normal"/>
              <w:jc w:val="both"/>
              <w:rPr>
                <w:color w:val="111111"/>
              </w:rPr>
            </w:pPr>
            <w:r>
              <w:rPr>
                <w:rFonts w:cs="Times New Roman" w:ascii="Times New Roman" w:hAnsi="Times New Roman"/>
                <w:color w:val="111111"/>
                <w:sz w:val="24"/>
                <w:szCs w:val="24"/>
              </w:rPr>
              <w:t>_________________________________</w:t>
            </w:r>
          </w:p>
          <w:p>
            <w:pPr>
              <w:pStyle w:val="Normal"/>
              <w:jc w:val="both"/>
              <w:rPr>
                <w:color w:val="111111"/>
              </w:rPr>
            </w:pPr>
            <w:r>
              <w:rPr>
                <w:rFonts w:cs="Times New Roman" w:ascii="Times New Roman" w:hAnsi="Times New Roman"/>
                <w:color w:val="111111"/>
                <w:sz w:val="24"/>
                <w:szCs w:val="24"/>
              </w:rPr>
              <w:t>REPRESENTANTE LEGAL</w:t>
            </w:r>
          </w:p>
          <w:p>
            <w:pPr>
              <w:pStyle w:val="Normal"/>
              <w:jc w:val="both"/>
              <w:rPr>
                <w:color w:val="111111"/>
              </w:rPr>
            </w:pPr>
            <w:r>
              <w:rPr>
                <w:rFonts w:cs="Times New Roman" w:ascii="Times New Roman" w:hAnsi="Times New Roman"/>
                <w:color w:val="111111"/>
                <w:sz w:val="24"/>
                <w:szCs w:val="24"/>
              </w:rPr>
              <w:t>Cargo / Função</w:t>
            </w:r>
          </w:p>
          <w:p>
            <w:pPr>
              <w:pStyle w:val="Normal"/>
              <w:jc w:val="both"/>
              <w:rPr>
                <w:color w:val="111111"/>
              </w:rPr>
            </w:pPr>
            <w:r>
              <w:rPr>
                <w:rFonts w:cs="Times New Roman" w:ascii="Times New Roman" w:hAnsi="Times New Roman"/>
                <w:color w:val="111111"/>
                <w:sz w:val="24"/>
                <w:szCs w:val="24"/>
              </w:rPr>
              <w:t>Razão Social da Contratada</w:t>
            </w:r>
          </w:p>
        </w:tc>
      </w:tr>
    </w:tbl>
    <w:p>
      <w:pPr>
        <w:pStyle w:val="Normal"/>
        <w:spacing w:before="288" w:after="0"/>
        <w:jc w:val="both"/>
        <w:rPr>
          <w:rFonts w:ascii="Times New Roman" w:hAnsi="Times New Roman" w:cs="Times New Roman"/>
          <w:color w:val="111111"/>
          <w:sz w:val="24"/>
          <w:szCs w:val="24"/>
        </w:rPr>
      </w:pPr>
      <w:r>
        <w:rPr>
          <w:rFonts w:cs="Times New Roman" w:ascii="Times New Roman" w:hAnsi="Times New Roman"/>
          <w:color w:val="111111"/>
          <w:sz w:val="24"/>
          <w:szCs w:val="24"/>
        </w:rPr>
      </w:r>
    </w:p>
    <w:p>
      <w:pPr>
        <w:pStyle w:val="Normal"/>
        <w:spacing w:before="288" w:after="0"/>
        <w:jc w:val="both"/>
        <w:rPr>
          <w:color w:val="111111"/>
        </w:rPr>
      </w:pPr>
      <w:r>
        <w:rPr>
          <w:rFonts w:cs="Times New Roman" w:ascii="Times New Roman" w:hAnsi="Times New Roman"/>
          <w:color w:val="111111"/>
          <w:sz w:val="24"/>
          <w:szCs w:val="24"/>
        </w:rPr>
        <w:t>Testemunhas:</w:t>
      </w:r>
    </w:p>
    <w:p>
      <w:pPr>
        <w:pStyle w:val="Normal"/>
        <w:spacing w:before="288" w:after="0"/>
        <w:ind w:firstLine="1985"/>
        <w:jc w:val="both"/>
        <w:rPr>
          <w:rFonts w:ascii="Times New Roman" w:hAnsi="Times New Roman" w:cs="Times New Roman"/>
          <w:color w:val="111111"/>
          <w:sz w:val="24"/>
          <w:szCs w:val="24"/>
        </w:rPr>
      </w:pPr>
      <w:r>
        <w:rPr>
          <w:rFonts w:cs="Times New Roman" w:ascii="Times New Roman" w:hAnsi="Times New Roman"/>
          <w:color w:val="111111"/>
          <w:sz w:val="24"/>
          <w:szCs w:val="24"/>
        </w:rPr>
      </w:r>
    </w:p>
    <w:p>
      <w:pPr>
        <w:pStyle w:val="Normal"/>
        <w:spacing w:before="288" w:after="0"/>
        <w:jc w:val="both"/>
        <w:rPr>
          <w:color w:val="111111"/>
        </w:rPr>
      </w:pPr>
      <w:r>
        <w:rPr>
          <w:rFonts w:cs="Times New Roman" w:ascii="Times New Roman" w:hAnsi="Times New Roman"/>
          <w:color w:val="111111"/>
          <w:sz w:val="24"/>
          <w:szCs w:val="24"/>
        </w:rPr>
        <w:t>1:___________________________________2:___________________________________</w:t>
      </w:r>
    </w:p>
    <w:p>
      <w:pPr>
        <w:pStyle w:val="Normal"/>
        <w:spacing w:before="288" w:after="0"/>
        <w:jc w:val="both"/>
        <w:rPr>
          <w:color w:val="111111"/>
        </w:rPr>
      </w:pPr>
      <w:r>
        <w:rPr>
          <w:rFonts w:cs="Times New Roman" w:ascii="Times New Roman" w:hAnsi="Times New Roman"/>
          <w:color w:val="111111"/>
          <w:sz w:val="24"/>
          <w:szCs w:val="24"/>
        </w:rPr>
        <w:t>(Nome legível e n.º de documento de identificação).</w:t>
      </w:r>
    </w:p>
    <w:p>
      <w:pPr>
        <w:pStyle w:val="Normal"/>
        <w:pBdr/>
        <w:jc w:val="both"/>
        <w:rPr>
          <w:rFonts w:ascii="Times New Roman" w:hAnsi="Times New Roman" w:eastAsia="Times New Roman" w:cs="Times New Roman"/>
          <w:color w:val="111111"/>
          <w:sz w:val="24"/>
          <w:szCs w:val="24"/>
        </w:rPr>
      </w:pPr>
      <w:r>
        <w:rPr>
          <w:rFonts w:eastAsia="Times New Roman" w:cs="Times New Roman" w:ascii="Times New Roman" w:hAnsi="Times New Roman"/>
          <w:color w:val="111111"/>
          <w:sz w:val="24"/>
          <w:szCs w:val="24"/>
        </w:rPr>
      </w:r>
    </w:p>
    <w:sectPr>
      <w:headerReference w:type="even" r:id="rId24"/>
      <w:headerReference w:type="default" r:id="rId25"/>
      <w:headerReference w:type="first" r:id="rId26"/>
      <w:footerReference w:type="even" r:id="rId27"/>
      <w:footerReference w:type="default" r:id="rId28"/>
      <w:footerReference w:type="first" r:id="rId29"/>
      <w:type w:val="nextPage"/>
      <w:pgSz w:w="11906" w:h="16838"/>
      <w:pgMar w:left="1701" w:right="1134" w:gutter="0" w:header="850" w:top="2835" w:footer="454"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 w:name="Georgia">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Arial">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20"/>
        <w:tab w:val="center" w:pos="4252" w:leader="none"/>
        <w:tab w:val="right" w:pos="8504" w:leader="none"/>
      </w:tabs>
      <w:spacing w:before="240" w:after="288"/>
      <w:rPr>
        <w:color w:val="111111"/>
      </w:rPr>
    </w:pPr>
    <w:r>
      <w:rPr>
        <w:rFonts w:eastAsia="Times New Roman" w:cs="Times New Roman" w:ascii="Times New Roman" w:hAnsi="Times New Roman"/>
        <w:color w:val="111111"/>
        <w:sz w:val="20"/>
        <w:szCs w:val="20"/>
      </w:rPr>
      <w:t>Versão/Atualização:  17/07/2026</w:t>
    </w:r>
  </w:p>
  <w:p>
    <w:pPr>
      <w:pStyle w:val="Normal"/>
      <w:pBdr/>
      <w:tabs>
        <w:tab w:val="clear" w:pos="720"/>
        <w:tab w:val="center" w:pos="4252" w:leader="none"/>
        <w:tab w:val="right" w:pos="8504" w:leader="none"/>
      </w:tabs>
      <w:jc w:val="end"/>
      <w:rPr>
        <w:color w:val="000000"/>
      </w:rPr>
    </w:pPr>
    <w:r>
      <w:rPr>
        <w:color w:val="000000"/>
        <w:sz w:val="16"/>
        <w:szCs w:val="16"/>
      </w:rPr>
      <w:fldChar w:fldCharType="begin"/>
    </w:r>
    <w:r>
      <w:rPr>
        <w:color w:val="000000"/>
        <w:sz w:val="16"/>
        <w:szCs w:val="16"/>
      </w:rPr>
      <w:instrText xml:space="preserve"> PAGE </w:instrText>
    </w:r>
    <w:r>
      <w:rPr>
        <w:color w:val="000000"/>
        <w:sz w:val="16"/>
        <w:szCs w:val="16"/>
      </w:rPr>
      <w:fldChar w:fldCharType="separate"/>
    </w:r>
    <w:r>
      <w:rPr>
        <w:color w:val="000000"/>
        <w:sz w:val="16"/>
        <w:szCs w:val="16"/>
      </w:rPr>
      <w:t>65</w:t>
    </w:r>
    <w:r>
      <w:rPr>
        <w:color w:val="000000"/>
        <w:sz w:val="16"/>
        <w:szCs w:val="16"/>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tabs>
        <w:tab w:val="clear" w:pos="720"/>
        <w:tab w:val="center" w:pos="4252" w:leader="none"/>
        <w:tab w:val="right" w:pos="8504" w:leader="none"/>
      </w:tabs>
      <w:spacing w:before="240" w:after="288"/>
      <w:rPr>
        <w:color w:val="111111"/>
      </w:rPr>
    </w:pPr>
    <w:r>
      <w:rPr>
        <w:rFonts w:eastAsia="Times New Roman" w:cs="Times New Roman" w:ascii="Times New Roman" w:hAnsi="Times New Roman"/>
        <w:color w:val="111111"/>
        <w:sz w:val="20"/>
        <w:szCs w:val="20"/>
      </w:rPr>
      <w:t>Versão/Atualização:  17/07/2026</w:t>
    </w:r>
  </w:p>
  <w:p>
    <w:pPr>
      <w:pStyle w:val="Normal"/>
      <w:pBdr/>
      <w:tabs>
        <w:tab w:val="clear" w:pos="720"/>
        <w:tab w:val="center" w:pos="4252" w:leader="none"/>
        <w:tab w:val="right" w:pos="8504" w:leader="none"/>
      </w:tabs>
      <w:jc w:val="end"/>
      <w:rPr>
        <w:color w:val="000000"/>
      </w:rPr>
    </w:pPr>
    <w:r>
      <w:rPr>
        <w:color w:val="000000"/>
        <w:sz w:val="16"/>
        <w:szCs w:val="16"/>
      </w:rPr>
      <w:fldChar w:fldCharType="begin"/>
    </w:r>
    <w:r>
      <w:rPr>
        <w:color w:val="000000"/>
        <w:sz w:val="16"/>
        <w:szCs w:val="16"/>
      </w:rPr>
      <w:instrText xml:space="preserve"> PAGE </w:instrText>
    </w:r>
    <w:r>
      <w:rPr>
        <w:color w:val="000000"/>
        <w:sz w:val="16"/>
        <w:szCs w:val="16"/>
      </w:rPr>
      <w:fldChar w:fldCharType="separate"/>
    </w:r>
    <w:r>
      <w:rPr>
        <w:color w:val="000000"/>
        <w:sz w:val="16"/>
        <w:szCs w:val="16"/>
      </w:rPr>
      <w:t>65</w:t>
    </w:r>
    <w:r>
      <w:rPr>
        <w:color w:val="000000"/>
        <w:sz w:val="16"/>
        <w:szCs w:val="1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pBd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drawing>
        <wp:anchor distT="0" distB="0" distL="0" distR="0" simplePos="0" relativeHeight="68" behindDoc="1" locked="0" layoutInCell="0" allowOverlap="1">
          <wp:simplePos x="0" y="0"/>
          <wp:positionH relativeFrom="column">
            <wp:posOffset>-557530</wp:posOffset>
          </wp:positionH>
          <wp:positionV relativeFrom="paragraph">
            <wp:posOffset>46990</wp:posOffset>
          </wp:positionV>
          <wp:extent cx="495935" cy="663575"/>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rcRect l="-17" t="-7" r="-17" b="-7"/>
                  <a:stretch>
                    <a:fillRect/>
                  </a:stretch>
                </pic:blipFill>
                <pic:spPr bwMode="auto">
                  <a:xfrm>
                    <a:off x="0" y="0"/>
                    <a:ext cx="495935" cy="663575"/>
                  </a:xfrm>
                  <a:prstGeom prst="rect">
                    <a:avLst/>
                  </a:prstGeom>
                  <a:noFill/>
                </pic:spPr>
              </pic:pic>
            </a:graphicData>
          </a:graphic>
        </wp:anchor>
      </w:drawing>
    </w:r>
    <w:r>
      <w:rPr>
        <w:rFonts w:eastAsia="Times New Roman" w:cs="Times New Roman" w:ascii="Times New Roman" w:hAnsi="Times New Roman"/>
        <w:color w:val="000000"/>
        <w:sz w:val="28"/>
        <w:szCs w:val="28"/>
      </w:rPr>
      <w:t>ESTADO DO RIO GRANDE DO SUL</w:t>
    </w:r>
  </w:p>
  <w:p>
    <w:pPr>
      <w:pStyle w:val="Normal"/>
      <w:keepNext w:val="true"/>
      <w:pBd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MUNICÍPIO DE CANOAS</w:t>
    </w:r>
  </w:p>
  <w:p>
    <w:pPr>
      <w:pStyle w:val="Normal"/>
      <w:keepNext w:val="true"/>
      <w:pBd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Secretaria </w:t>
    </w:r>
    <w:r>
      <w:rPr>
        <w:rFonts w:eastAsia="Times New Roman" w:cs="Times New Roman" w:ascii="Times New Roman" w:hAnsi="Times New Roman"/>
        <w:sz w:val="28"/>
        <w:szCs w:val="28"/>
      </w:rPr>
      <w:t>Municipal de Licitações e Contratos</w:t>
    </w:r>
  </w:p>
  <w:p>
    <w:pPr>
      <w:pStyle w:val="Normal"/>
      <w:pBdr/>
      <w:spacing w:before="0" w:after="140"/>
      <w:rPr>
        <w:color w:val="000000"/>
      </w:rPr>
    </w:pPr>
    <w:r>
      <w:rPr>
        <w:color w:val="000000"/>
      </w:rPr>
    </w:r>
  </w:p>
  <w:p>
    <w:pPr>
      <w:pStyle w:val="Normal"/>
      <w:pBdr/>
      <w:tabs>
        <w:tab w:val="clear" w:pos="720"/>
        <w:tab w:val="center" w:pos="4252" w:leader="none"/>
        <w:tab w:val="right" w:pos="8504" w:leader="none"/>
      </w:tabs>
      <w:jc w:val="end"/>
      <w:rPr>
        <w:color w:val="111111"/>
      </w:rPr>
    </w:pPr>
    <w:r>
      <w:rPr>
        <w:rFonts w:eastAsia="Times New Roman" w:cs="Times New Roman" w:ascii="Times New Roman" w:hAnsi="Times New Roman"/>
        <w:color w:val="111111"/>
        <w:sz w:val="24"/>
        <w:szCs w:val="24"/>
      </w:rPr>
      <w:t xml:space="preserve">Processo n.º </w:t>
    </w:r>
    <w:r>
      <w:rPr>
        <w:rFonts w:eastAsia="Times New Roman" w:cs="Times New Roman" w:ascii="Times New Roman" w:hAnsi="Times New Roman"/>
        <w:color w:val="111111"/>
        <w:sz w:val="24"/>
        <w:szCs w:val="24"/>
      </w:rPr>
      <w:t>25.0.000097027-4</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pBd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drawing>
        <wp:anchor distT="0" distB="0" distL="0" distR="0" simplePos="0" relativeHeight="68" behindDoc="1" locked="0" layoutInCell="0" allowOverlap="1">
          <wp:simplePos x="0" y="0"/>
          <wp:positionH relativeFrom="column">
            <wp:posOffset>-557530</wp:posOffset>
          </wp:positionH>
          <wp:positionV relativeFrom="paragraph">
            <wp:posOffset>46990</wp:posOffset>
          </wp:positionV>
          <wp:extent cx="495935" cy="663575"/>
          <wp:effectExtent l="0" t="0" r="0" b="0"/>
          <wp:wrapSquare wrapText="bothSides"/>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1"/>
                  <a:srcRect l="-17" t="-7" r="-17" b="-7"/>
                  <a:stretch>
                    <a:fillRect/>
                  </a:stretch>
                </pic:blipFill>
                <pic:spPr bwMode="auto">
                  <a:xfrm>
                    <a:off x="0" y="0"/>
                    <a:ext cx="495935" cy="663575"/>
                  </a:xfrm>
                  <a:prstGeom prst="rect">
                    <a:avLst/>
                  </a:prstGeom>
                  <a:noFill/>
                </pic:spPr>
              </pic:pic>
            </a:graphicData>
          </a:graphic>
        </wp:anchor>
      </w:drawing>
    </w:r>
    <w:r>
      <w:rPr>
        <w:rFonts w:eastAsia="Times New Roman" w:cs="Times New Roman" w:ascii="Times New Roman" w:hAnsi="Times New Roman"/>
        <w:color w:val="000000"/>
        <w:sz w:val="28"/>
        <w:szCs w:val="28"/>
      </w:rPr>
      <w:t>ESTADO DO RIO GRANDE DO SUL</w:t>
    </w:r>
  </w:p>
  <w:p>
    <w:pPr>
      <w:pStyle w:val="Normal"/>
      <w:keepNext w:val="true"/>
      <w:pBd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MUNICÍPIO DE CANOAS</w:t>
    </w:r>
  </w:p>
  <w:p>
    <w:pPr>
      <w:pStyle w:val="Normal"/>
      <w:keepNext w:val="true"/>
      <w:pBdr/>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rPr>
      <w:t xml:space="preserve">Secretaria </w:t>
    </w:r>
    <w:r>
      <w:rPr>
        <w:rFonts w:eastAsia="Times New Roman" w:cs="Times New Roman" w:ascii="Times New Roman" w:hAnsi="Times New Roman"/>
        <w:sz w:val="28"/>
        <w:szCs w:val="28"/>
      </w:rPr>
      <w:t>Municipal de Licitações e Contratos</w:t>
    </w:r>
  </w:p>
  <w:p>
    <w:pPr>
      <w:pStyle w:val="Normal"/>
      <w:pBdr/>
      <w:spacing w:before="0" w:after="140"/>
      <w:rPr>
        <w:color w:val="000000"/>
      </w:rPr>
    </w:pPr>
    <w:r>
      <w:rPr>
        <w:color w:val="000000"/>
      </w:rPr>
    </w:r>
  </w:p>
  <w:p>
    <w:pPr>
      <w:pStyle w:val="Normal"/>
      <w:pBdr/>
      <w:tabs>
        <w:tab w:val="clear" w:pos="720"/>
        <w:tab w:val="center" w:pos="4252" w:leader="none"/>
        <w:tab w:val="right" w:pos="8504" w:leader="none"/>
      </w:tabs>
      <w:jc w:val="end"/>
      <w:rPr>
        <w:color w:val="111111"/>
      </w:rPr>
    </w:pPr>
    <w:r>
      <w:rPr>
        <w:rFonts w:eastAsia="Times New Roman" w:cs="Times New Roman" w:ascii="Times New Roman" w:hAnsi="Times New Roman"/>
        <w:color w:val="111111"/>
        <w:sz w:val="24"/>
        <w:szCs w:val="24"/>
      </w:rPr>
      <w:t xml:space="preserve">Processo n.º </w:t>
    </w:r>
    <w:r>
      <w:rPr>
        <w:rFonts w:eastAsia="Times New Roman" w:cs="Times New Roman" w:ascii="Times New Roman" w:hAnsi="Times New Roman"/>
        <w:color w:val="111111"/>
        <w:sz w:val="24"/>
        <w:szCs w:val="24"/>
      </w:rPr>
      <w:t>25.0.000097027-4</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58" w:hanging="360"/>
      </w:pPr>
      <w:rPr>
        <w:rFonts w:ascii="Times New Roman" w:hAnsi="Times New Roman" w:eastAsia="Times New Roman" w:cs="Times New Roman"/>
        <w:b w:val="false"/>
        <w:bCs w:val="false"/>
        <w:color w:val="FF0000"/>
        <w:sz w:val="24"/>
        <w:szCs w:val="24"/>
      </w:rPr>
    </w:lvl>
    <w:lvl w:ilvl="1">
      <w:start w:val="1"/>
      <w:numFmt w:val="lowerLetter"/>
      <w:lvlText w:val="%2."/>
      <w:lvlJc w:val="start"/>
      <w:pPr>
        <w:tabs>
          <w:tab w:val="num" w:pos="0"/>
        </w:tabs>
        <w:ind w:start="1078" w:hanging="360"/>
      </w:pPr>
      <w:rPr/>
    </w:lvl>
    <w:lvl w:ilvl="2">
      <w:start w:val="1"/>
      <w:numFmt w:val="lowerRoman"/>
      <w:lvlText w:val="%3."/>
      <w:lvlJc w:val="end"/>
      <w:pPr>
        <w:tabs>
          <w:tab w:val="num" w:pos="0"/>
        </w:tabs>
        <w:ind w:start="1798" w:hanging="180"/>
      </w:pPr>
      <w:rPr/>
    </w:lvl>
    <w:lvl w:ilvl="3">
      <w:start w:val="1"/>
      <w:numFmt w:val="decimal"/>
      <w:lvlText w:val="%4."/>
      <w:lvlJc w:val="start"/>
      <w:pPr>
        <w:tabs>
          <w:tab w:val="num" w:pos="0"/>
        </w:tabs>
        <w:ind w:start="2518" w:hanging="360"/>
      </w:pPr>
      <w:rPr/>
    </w:lvl>
    <w:lvl w:ilvl="4">
      <w:start w:val="1"/>
      <w:numFmt w:val="lowerLetter"/>
      <w:lvlText w:val="%5."/>
      <w:lvlJc w:val="start"/>
      <w:pPr>
        <w:tabs>
          <w:tab w:val="num" w:pos="0"/>
        </w:tabs>
        <w:ind w:start="3238" w:hanging="360"/>
      </w:pPr>
      <w:rPr/>
    </w:lvl>
    <w:lvl w:ilvl="5">
      <w:start w:val="1"/>
      <w:numFmt w:val="lowerRoman"/>
      <w:lvlText w:val="%6."/>
      <w:lvlJc w:val="end"/>
      <w:pPr>
        <w:tabs>
          <w:tab w:val="num" w:pos="0"/>
        </w:tabs>
        <w:ind w:start="3958" w:hanging="180"/>
      </w:pPr>
      <w:rPr/>
    </w:lvl>
    <w:lvl w:ilvl="6">
      <w:start w:val="1"/>
      <w:numFmt w:val="decimal"/>
      <w:lvlText w:val="%7."/>
      <w:lvlJc w:val="start"/>
      <w:pPr>
        <w:tabs>
          <w:tab w:val="num" w:pos="0"/>
        </w:tabs>
        <w:ind w:start="4678" w:hanging="360"/>
      </w:pPr>
      <w:rPr/>
    </w:lvl>
    <w:lvl w:ilvl="7">
      <w:start w:val="1"/>
      <w:numFmt w:val="lowerLetter"/>
      <w:lvlText w:val="%8."/>
      <w:lvlJc w:val="start"/>
      <w:pPr>
        <w:tabs>
          <w:tab w:val="num" w:pos="0"/>
        </w:tabs>
        <w:ind w:start="5398" w:hanging="360"/>
      </w:pPr>
      <w:rPr/>
    </w:lvl>
    <w:lvl w:ilvl="8">
      <w:start w:val="1"/>
      <w:numFmt w:val="lowerRoman"/>
      <w:lvlText w:val="%9."/>
      <w:lvlJc w:val="end"/>
      <w:pPr>
        <w:tabs>
          <w:tab w:val="num" w:pos="0"/>
        </w:tabs>
        <w:ind w:start="6118"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pt-BR" w:eastAsia="pt-B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keepLines/>
      <w:widowControl w:val="false"/>
      <w:bidi w:val="0"/>
      <w:spacing w:before="0" w:after="0"/>
      <w:jc w:val="center"/>
    </w:pPr>
    <w:rPr>
      <w:rFonts w:ascii="Arial" w:hAnsi="Arial" w:eastAsia="Arial" w:cs="Arial"/>
      <w:color w:val="auto"/>
      <w:kern w:val="0"/>
      <w:sz w:val="22"/>
      <w:szCs w:val="22"/>
      <w:lang w:val="pt-BR" w:eastAsia="pt-BR" w:bidi="ar-SA"/>
    </w:rPr>
  </w:style>
  <w:style w:type="paragraph" w:styleId="Heading1">
    <w:name w:val="heading 1"/>
    <w:basedOn w:val="Normal"/>
    <w:next w:val="Normal"/>
    <w:qFormat/>
    <w:pPr>
      <w:keepNext w:val="true"/>
      <w:spacing w:before="120" w:after="120"/>
      <w:jc w:val="both"/>
      <w:outlineLvl w:val="0"/>
    </w:pPr>
    <w:rPr>
      <w:rFonts w:ascii="Times New Roman" w:hAnsi="Times New Roman" w:eastAsia="Times New Roman" w:cs="Times New Roman"/>
      <w:b/>
      <w:bCs/>
      <w:sz w:val="24"/>
      <w:szCs w:val="24"/>
    </w:rPr>
  </w:style>
  <w:style w:type="paragraph" w:styleId="Heading2">
    <w:name w:val="heading 2"/>
    <w:basedOn w:val="Normal"/>
    <w:next w:val="Normal"/>
    <w:qFormat/>
    <w:pPr>
      <w:keepNext w:val="true"/>
      <w:spacing w:before="120" w:after="120"/>
      <w:jc w:val="both"/>
      <w:outlineLvl w:val="1"/>
    </w:pPr>
    <w:rPr>
      <w:rFonts w:ascii="Times New Roman" w:hAnsi="Times New Roman" w:eastAsia="Times New Roman" w:cs="Times New Roman"/>
      <w:b/>
      <w:bCs/>
      <w:sz w:val="24"/>
      <w:szCs w:val="24"/>
    </w:rPr>
  </w:style>
  <w:style w:type="paragraph" w:styleId="Heading3">
    <w:name w:val="heading 3"/>
    <w:basedOn w:val="Normal"/>
    <w:next w:val="Normal"/>
    <w:qFormat/>
    <w:pPr>
      <w:keepNext w:val="true"/>
      <w:spacing w:before="280" w:after="80"/>
      <w:outlineLvl w:val="2"/>
    </w:pPr>
    <w:rPr>
      <w:b/>
      <w:bCs/>
      <w:sz w:val="28"/>
      <w:szCs w:val="28"/>
    </w:rPr>
  </w:style>
  <w:style w:type="paragraph" w:styleId="Heading4">
    <w:name w:val="heading 4"/>
    <w:basedOn w:val="Normal"/>
    <w:next w:val="Normal"/>
    <w:qFormat/>
    <w:pPr>
      <w:keepNext w:val="true"/>
      <w:spacing w:before="120" w:after="120"/>
      <w:outlineLvl w:val="3"/>
    </w:pPr>
    <w:rPr>
      <w:rFonts w:ascii="Times New Roman" w:hAnsi="Times New Roman" w:eastAsia="Times New Roman" w:cs="Times New Roman"/>
      <w:b/>
      <w:bCs/>
      <w:sz w:val="24"/>
      <w:szCs w:val="24"/>
    </w:rPr>
  </w:style>
  <w:style w:type="paragraph" w:styleId="Heading5">
    <w:name w:val="heading 5"/>
    <w:basedOn w:val="Normal"/>
    <w:next w:val="Normal"/>
    <w:qFormat/>
    <w:pPr>
      <w:keepNext w:val="true"/>
      <w:spacing w:before="220" w:after="40"/>
      <w:outlineLvl w:val="4"/>
    </w:pPr>
    <w:rPr>
      <w:b/>
      <w:bCs/>
    </w:rPr>
  </w:style>
  <w:style w:type="paragraph" w:styleId="Heading6">
    <w:name w:val="heading 6"/>
    <w:basedOn w:val="Normal"/>
    <w:next w:val="Normal"/>
    <w:qFormat/>
    <w:pPr>
      <w:keepNext w:val="true"/>
      <w:spacing w:before="200" w:after="40"/>
      <w:outlineLvl w:val="5"/>
    </w:pPr>
    <w:rPr>
      <w:b/>
      <w:bCs/>
      <w:sz w:val="20"/>
      <w:szCs w:val="20"/>
    </w:rPr>
  </w:style>
  <w:style w:type="character" w:styleId="DefaultParagraphFont" w:default="1">
    <w:name w:val="Default Paragraph Font"/>
    <w:uiPriority w:val="1"/>
    <w:semiHidden/>
    <w:unhideWhenUsed/>
    <w:qFormat/>
    <w:rPr/>
  </w:style>
  <w:style w:type="character" w:styleId="TextodecomentrioChar" w:customStyle="1">
    <w:name w:val="Texto de comentário Char"/>
    <w:basedOn w:val="DefaultParagraphFon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CabealhoChar" w:customStyle="1">
    <w:name w:val="Cabeçalho Char"/>
    <w:basedOn w:val="DefaultParagraphFont"/>
    <w:uiPriority w:val="99"/>
    <w:qFormat/>
    <w:rsid w:val="004f0a4d"/>
    <w:rPr/>
  </w:style>
  <w:style w:type="character" w:styleId="RodapChar" w:customStyle="1">
    <w:name w:val="Rodapé Char"/>
    <w:basedOn w:val="DefaultParagraphFont"/>
    <w:uiPriority w:val="99"/>
    <w:qFormat/>
    <w:rsid w:val="004f0a4d"/>
    <w:rPr/>
  </w:style>
  <w:style w:type="character" w:styleId="Strong">
    <w:name w:val="Strong"/>
    <w:basedOn w:val="DefaultParagraphFont"/>
    <w:uiPriority w:val="22"/>
    <w:qFormat/>
    <w:rsid w:val="00ef2fe8"/>
    <w:rPr>
      <w:b/>
      <w:bCs/>
    </w:rPr>
  </w:style>
  <w:style w:type="character" w:styleId="Emphasis">
    <w:name w:val="Emphasis"/>
    <w:basedOn w:val="DefaultParagraphFont"/>
    <w:uiPriority w:val="20"/>
    <w:qFormat/>
    <w:rsid w:val="009e7df2"/>
    <w:rPr>
      <w:i/>
      <w:iCs/>
    </w:rPr>
  </w:style>
  <w:style w:type="character" w:styleId="Hyperlink">
    <w:name w:val="Hyperlink"/>
    <w:basedOn w:val="DefaultParagraphFont"/>
    <w:uiPriority w:val="99"/>
    <w:semiHidden/>
    <w:unhideWhenUsed/>
    <w:rsid w:val="00394aba"/>
    <w:rPr>
      <w:color w:val="0000FF"/>
      <w:u w:val="single"/>
    </w:rPr>
  </w:style>
  <w:style w:type="character" w:styleId="TextodebaloChar" w:customStyle="1">
    <w:name w:val="Texto de balão Char"/>
    <w:basedOn w:val="DefaultParagraphFont"/>
    <w:link w:val="BalloonText"/>
    <w:uiPriority w:val="99"/>
    <w:semiHidden/>
    <w:qFormat/>
    <w:rsid w:val="001e6ca1"/>
    <w:rPr>
      <w:rFonts w:ascii="Segoe UI" w:hAnsi="Segoe UI" w:cs="Segoe UI"/>
      <w:sz w:val="18"/>
      <w:szCs w:val="18"/>
    </w:rPr>
  </w:style>
  <w:style w:type="character" w:styleId="AssuntodocomentrioChar" w:customStyle="1">
    <w:name w:val="Assunto do comentário Char"/>
    <w:basedOn w:val="TextodecomentrioChar"/>
    <w:link w:val="annotationsubject"/>
    <w:uiPriority w:val="99"/>
    <w:semiHidden/>
    <w:qFormat/>
    <w:rsid w:val="00f8296a"/>
    <w:rPr>
      <w:b/>
      <w:bCs/>
      <w:sz w:val="20"/>
      <w:szCs w:val="20"/>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itle">
    <w:name w:val="Title"/>
    <w:basedOn w:val="Normal"/>
    <w:next w:val="Normal"/>
    <w:qFormat/>
    <w:pPr>
      <w:keepNext w:val="true"/>
      <w:spacing w:before="480" w:after="120"/>
    </w:pPr>
    <w:rPr>
      <w:b/>
      <w:bCs/>
      <w:sz w:val="72"/>
      <w:szCs w:val="72"/>
    </w:rPr>
  </w:style>
  <w:style w:type="paragraph" w:styleId="CommentText">
    <w:name w:val="annotation text"/>
    <w:basedOn w:val="Normal"/>
    <w:link w:val="TextodecomentrioChar"/>
    <w:uiPriority w:val="99"/>
    <w:semiHidden/>
    <w:unhideWhenUsed/>
    <w:pPr/>
    <w:rPr>
      <w:sz w:val="20"/>
      <w:szCs w:val="20"/>
    </w:rPr>
  </w:style>
  <w:style w:type="paragraph" w:styleId="Cabealhoerodap">
    <w:name w:val="Cabeçalho e rodapé"/>
    <w:basedOn w:val="Normal"/>
    <w:qFormat/>
    <w:pPr/>
    <w:rPr/>
  </w:style>
  <w:style w:type="paragraph" w:styleId="Header">
    <w:name w:val="header"/>
    <w:basedOn w:val="Normal"/>
    <w:link w:val="CabealhoChar"/>
    <w:uiPriority w:val="99"/>
    <w:unhideWhenUsed/>
    <w:rsid w:val="004f0a4d"/>
    <w:pPr>
      <w:tabs>
        <w:tab w:val="clear" w:pos="720"/>
        <w:tab w:val="center" w:pos="4252" w:leader="none"/>
        <w:tab w:val="right" w:pos="8504" w:leader="none"/>
      </w:tabs>
    </w:pPr>
    <w:rPr/>
  </w:style>
  <w:style w:type="paragraph" w:styleId="Footer">
    <w:name w:val="footer"/>
    <w:basedOn w:val="Normal"/>
    <w:link w:val="RodapChar"/>
    <w:uiPriority w:val="99"/>
    <w:unhideWhenUsed/>
    <w:rsid w:val="004f0a4d"/>
    <w:pPr>
      <w:tabs>
        <w:tab w:val="clear" w:pos="720"/>
        <w:tab w:val="center" w:pos="4252" w:leader="none"/>
        <w:tab w:val="right" w:pos="8504" w:leader="none"/>
      </w:tabs>
    </w:pPr>
    <w:rPr/>
  </w:style>
  <w:style w:type="paragraph" w:styleId="ListParagraph">
    <w:name w:val="List Paragraph"/>
    <w:basedOn w:val="Normal"/>
    <w:qFormat/>
    <w:rsid w:val="004f0a4d"/>
    <w:pPr>
      <w:spacing w:before="0" w:after="0"/>
      <w:ind w:start="720"/>
      <w:contextualSpacing/>
    </w:pPr>
    <w:rPr/>
  </w:style>
  <w:style w:type="paragraph" w:styleId="NormalWeb">
    <w:name w:val="Normal (Web)"/>
    <w:basedOn w:val="Normal"/>
    <w:uiPriority w:val="99"/>
    <w:unhideWhenUsed/>
    <w:qFormat/>
    <w:rsid w:val="004f0a4d"/>
    <w:pPr>
      <w:keepLines w:val="false"/>
      <w:widowControl/>
      <w:spacing w:lineRule="auto" w:line="288" w:beforeAutospacing="1" w:after="142"/>
    </w:pPr>
    <w:rPr>
      <w:rFonts w:ascii="Times New Roman" w:hAnsi="Times New Roman" w:eastAsia="Times New Roman" w:cs="Times New Roman"/>
      <w:sz w:val="24"/>
      <w:szCs w:val="24"/>
    </w:rPr>
  </w:style>
  <w:style w:type="paragraph" w:styleId="NoSpacing">
    <w:name w:val="No Spacing"/>
    <w:uiPriority w:val="1"/>
    <w:qFormat/>
    <w:rsid w:val="004842c3"/>
    <w:pPr>
      <w:keepLines/>
      <w:widowControl w:val="false"/>
      <w:bidi w:val="0"/>
      <w:spacing w:before="0" w:after="0"/>
      <w:jc w:val="center"/>
    </w:pPr>
    <w:rPr>
      <w:rFonts w:ascii="Arial" w:hAnsi="Arial" w:eastAsia="Arial" w:cs="Arial"/>
      <w:color w:val="auto"/>
      <w:kern w:val="0"/>
      <w:sz w:val="22"/>
      <w:szCs w:val="22"/>
      <w:lang w:val="pt-BR" w:eastAsia="pt-BR" w:bidi="ar-SA"/>
    </w:rPr>
  </w:style>
  <w:style w:type="paragraph" w:styleId="BalloonText">
    <w:name w:val="Balloon Text"/>
    <w:basedOn w:val="Normal"/>
    <w:link w:val="TextodebaloChar"/>
    <w:uiPriority w:val="99"/>
    <w:semiHidden/>
    <w:unhideWhenUsed/>
    <w:qFormat/>
    <w:rsid w:val="001e6ca1"/>
    <w:pPr/>
    <w:rPr>
      <w:rFonts w:ascii="Segoe UI" w:hAnsi="Segoe UI" w:cs="Segoe UI"/>
      <w:sz w:val="18"/>
      <w:szCs w:val="18"/>
    </w:rPr>
  </w:style>
  <w:style w:type="paragraph" w:styleId="Subtitle">
    <w:name w:val="Subtitle"/>
    <w:basedOn w:val="Normal"/>
    <w:next w:val="Normal"/>
    <w:qFormat/>
    <w:pPr>
      <w:keepNext w:val="true"/>
      <w:spacing w:before="360" w:after="80"/>
    </w:pPr>
    <w:rPr>
      <w:rFonts w:ascii="Georgia" w:hAnsi="Georgia" w:eastAsia="Georgia" w:cs="Georgia"/>
      <w:i/>
      <w:iCs/>
      <w:color w:val="666666"/>
      <w:sz w:val="48"/>
      <w:szCs w:val="48"/>
    </w:rPr>
  </w:style>
  <w:style w:type="paragraph" w:styleId="annotationsubject">
    <w:name w:val="annotation subject"/>
    <w:basedOn w:val="CommentText"/>
    <w:next w:val="CommentText"/>
    <w:link w:val="AssuntodocomentrioChar"/>
    <w:uiPriority w:val="99"/>
    <w:semiHidden/>
    <w:unhideWhenUsed/>
    <w:qFormat/>
    <w:rsid w:val="00f8296a"/>
    <w:pPr/>
    <w:rPr>
      <w:b/>
      <w:bCs/>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100" w:type="dxa"/>
        <w:left w:w="100" w:type="dxa"/>
        <w:bottom w:w="100" w:type="dxa"/>
        <w:right w:w="100" w:type="dxa"/>
      </w:tblCellMar>
    </w:tbl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styleId="Tabelacomgrade">
    <w:name w:val="Table Grid"/>
    <w:basedOn w:val="Tabelanormal"/>
    <w:uiPriority w:val="39"/>
    <w:rsid w:val="0031634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istemas.canoas.rs.gov.br/domc/api/publication-file/139313" TargetMode="External"/><Relationship Id="rId3" Type="http://schemas.openxmlformats.org/officeDocument/2006/relationships/hyperlink" Target="https://sistemas.canoas.rs.gov.br/domc/api/publication-file/139351" TargetMode="External"/><Relationship Id="rId4" Type="http://schemas.openxmlformats.org/officeDocument/2006/relationships/hyperlink" Target="http://www.pregaobanrisul.com.br/" TargetMode="External"/><Relationship Id="rId5" Type="http://schemas.openxmlformats.org/officeDocument/2006/relationships/hyperlink" Target="http://www.pregaobanrisul.com.br/" TargetMode="External"/><Relationship Id="rId6" Type="http://schemas.openxmlformats.org/officeDocument/2006/relationships/hyperlink" Target="http://www.celic.rs.gov.br/" TargetMode="External"/><Relationship Id="rId7" Type="http://schemas.openxmlformats.org/officeDocument/2006/relationships/hyperlink" Target="https://contas.tcu.gov.br/ords/f?p=1660:3:16627039811290::::P3_TIPO_RELACAO:INIDONEO" TargetMode="External"/><Relationship Id="rId8" Type="http://schemas.openxmlformats.org/officeDocument/2006/relationships/hyperlink" Target="https://www.gov.br/compras/pt-br/acesso-a-informacao/legislacao/instrucoes-normativas/instrucao-normativa-seges-me-no-73-de-30-de-setembro-de-2022" TargetMode="External"/><Relationship Id="rId9" Type="http://schemas.openxmlformats.org/officeDocument/2006/relationships/hyperlink" Target="https://www.gov.br/compras/pt-br/acesso-a-informacao/legislacao/instrucoes-normativas/instrucao-normativa-seges-me-no-73-de-30-de-setembro-de-2022" TargetMode="External"/><Relationship Id="rId10" Type="http://schemas.openxmlformats.org/officeDocument/2006/relationships/hyperlink" Target="https://sistemas.canoas.rs.gov.br/domc/api/publication-file/139313" TargetMode="External"/><Relationship Id="rId11" Type="http://schemas.openxmlformats.org/officeDocument/2006/relationships/hyperlink" Target="https://sistemas.canoas.rs.gov.br/domc/api/publication-file/139313" TargetMode="External"/><Relationship Id="rId12" Type="http://schemas.openxmlformats.org/officeDocument/2006/relationships/hyperlink" Target="https://sistemas.canoas.rs.gov.br/domc/api/publication-file/139313" TargetMode="External"/><Relationship Id="rId13" Type="http://schemas.openxmlformats.org/officeDocument/2006/relationships/hyperlink" Target="https://sistemas.canoas.rs.gov.br/domc/api/publication-file/139313" TargetMode="External"/><Relationship Id="rId14" Type="http://schemas.openxmlformats.org/officeDocument/2006/relationships/hyperlink" Target="https://sistemas.canoas.rs.gov.br/domc/api/publication-file/139313" TargetMode="External"/><Relationship Id="rId15" Type="http://schemas.openxmlformats.org/officeDocument/2006/relationships/hyperlink" Target="https://sistemas.canoas.rs.gov.br/domc/api/publication-file/139313" TargetMode="External"/><Relationship Id="rId16" Type="http://schemas.openxmlformats.org/officeDocument/2006/relationships/hyperlink" Target="https://www.gov.br/iti/pt-br/assuntos/icp-brasil/autoridades-certificadoras" TargetMode="External"/><Relationship Id="rId17" Type="http://schemas.openxmlformats.org/officeDocument/2006/relationships/hyperlink" Target="http://gov.br/" TargetMode="External"/><Relationship Id="rId18" Type="http://schemas.openxmlformats.org/officeDocument/2006/relationships/hyperlink" Target="https://validar.iti.gov.br/" TargetMode="External"/><Relationship Id="rId19" Type="http://schemas.openxmlformats.org/officeDocument/2006/relationships/hyperlink" Target="http://www.canoas.rs.gov.br/" TargetMode="External"/><Relationship Id="rId20" Type="http://schemas.openxmlformats.org/officeDocument/2006/relationships/hyperlink" Target="https://www.canoas.rs.gov.br/licitacao/" TargetMode="External"/><Relationship Id="rId21" Type="http://schemas.openxmlformats.org/officeDocument/2006/relationships/hyperlink" Target="https://www.canoas.rs.gov.br/licitacao/" TargetMode="External"/><Relationship Id="rId22" Type="http://schemas.openxmlformats.org/officeDocument/2006/relationships/hyperlink" Target="http://www.pregaoonlinebanrisul.com.br/" TargetMode="External"/><Relationship Id="rId23" Type="http://schemas.openxmlformats.org/officeDocument/2006/relationships/hyperlink" Target="http://www.pregaoonlinebanrisul.com.br/" TargetMode="External"/><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header" Target="header3.xm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footer" Target="footer3.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Relationship Id="rId34"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BmxQXXPWNM7Gj48XEwkqQ0wUeYg==">CgMxLjAaJwoBMBIiCiAIBCocCgtBQUFDRGNRRWVpURAIGgtBQUFDRGNRRWVpURonCgExEiIKIAgEKhwKC0FBQUNEQjJfWUpFEAgaC0FBQUNEQjJfWUpFGicKATISIgogCAQqHAoLQUFBQ0RkdS1SdTQQCBoLQUFBQ0RkdS1SdTQi8goKC0FBQUNEY1FFZWlREsAKCgtBQUFDRGNRRWVpURILQUFBQ0RjUUVlaVEaSQoJdGV4dC9odG1sEjxBdHVhbGl6YWRvIDE2LzA3LzIwMjYsIGVtIGF0ZW7Dp8OjbyBhbyBEZWNyZXRvIG7CuiAyMDAvMjAyNi4iSgoKdGV4dC9wbGFpbhI8QXR1YWxpemFkbyAxNi8wNy8yMDI2LCBlbSBhdGVuw6fDo28gYW8gRGVjcmV0byBuwrogMjAwLzIwMjYuKhsiFTEwMjc4MzAxOTQ3MDA4MjE4MTM3OSgAOAAw27Cs4PYzONuwrOD2M0r6BwoKdGV4dC9wbGFpbhLrBzIuMTYuIE7Do28gcG9kZXLDoSBwYXJ0aWNpcGFyIGRpcmV0YSBvdSBpbmRpcmV0YW1lbnRlIGRlc3RhIGxpY2l0YcOnw6NvIG8gbGljaXRhbnRlIGNvbSBkZWNyZXRhw6fDo28gZGUgZmFsw6puY2lhLCBlbSBwcm9jZXNzbyBkZSByZWN1cGVyYcOnw6NvIGp1ZGljaWFsIG91IGV4dHJhanVkaWNpYWwsIHNhbHZvIG1lZGlhbnRlIGF1dG9yaXphw6fDo28gZG8ganXDrXpvIGVtIHF1ZSB0cmFtaXRhIG8gcHJvY2VkaW1lbnRvIGRhIHJlY3VwZXJhw6fDo28ganVkaWNpYWwsIHNlbmRvIG5lY2Vzc8OhcmlvIGFwcmVzZW50YcOnw6NvIGRvcyBzZWd1aW50ZXMgZG9jdW1lbnRvcyByZWxhdGl2b3Mgw6AgaGFiaWxpdGHDp8OjbzoKYSkgU2VudGVuw6dhIGRlIGhvbW9sb2dhw6fDo28gZG8gUGxhbm8gZGUgUmVjdXBlcmHDp8OjbyBKdWRpY2lhbCwgZGEgZGVjaXPDo28gaG9tb2xvZ2F0w7NyaWEgZG8gUGxhbm8gZGUgUmVjdXBlcmHDp8OjbyBFeHRyYWp1ZGljaWFsIG91IGRlIG91dHJvIGRvY3VtZW50byBqdWRpY2lhbCBlcXVpdmFsZW50ZSBxdWUgYXRlc3RlIGEgaG9tb2xvZ2HDp8OjbyBlIGEgdmlnw6puY2lhIGRvIHBsYW5vLCBjZXJ0aWZpY2FuZG8gcXVlIGEgZW1wcmVzYSBlc3TDoSBhcHRhIGVjb27DtG1pY2EgZSBmaW5hbmNlaXJhbWVudGUgYSBzdXBvcnRhciBvIGN1bXByaW1lbnRvIGRlIHVtIGZ1dHVybyBjb250cmF0byBjb20gYSBBZG1pbmlzdHJhw6fDo28gUMO6YmxpY2EsIGxldmFuZG8gZW0gY29uc2lkZXJhw6fDo28gbyBvYmpldG8gYSBzZXIgY29udHJhdGFkbyBuZXN0ZSBjZXJ0YW1lIGVzcGVjw61maWNvOwpiKSBDZXJ0aWTDo28gcG9zaXRpdmEgZGUgcmVjdXBlcmHDp8OjbyBqdWRpY2lhbCBvdSBleHRyYWp1ZGljaWFsLCBleHBlZGlkYSBwZWxvIGRpc3RyaWJ1aWRvciBkYSBzZWRlIGRhIGxpY2l0YW50ZTsKYykgVG9kb3Mgb3MgZGVtYWlzIGRvY3VtZW50b3MgcmVmZXJlbnRlcyDDoCBoYWJpbGl0YcOnw6NvIHByZXZpc3RvcyBubyBlZGl0YWwuCjLigKZaDDlkdzhzenBxaXA4MXICIAB4AJoBBggAEAAYAKoBPhI8QXR1YWxpemFkbyAxNi8wNy8yMDI2LCBlbSBhdGVuw6fDo28gYW8gRGVjcmV0byBuwrogMjAwLzIwMjYusAEAuAEAyAEAGNuwrOD2MyDbsKzg9jMwAEIQa2l4Lnc1dHB3b3h1OGltZCK3CAoLQUFBQ0RCMl9ZSkUShQgKC0FBQUNEQjJfWUpFEgtBQUFDREIyX1lKRRpJCgl0ZXh0L2h0bWwSPEF0dWFsaXphZG8gMTYvMDcvMjAyNiwgZW0gYXRlbsOnw6NvIGFvIERlY3JldG8gbsK6IDIwMC8yMDI2LiJKCgp0ZXh0L3BsYWluEjxBdHVhbGl6YWRvIDE2LzA3LzIwMjYsIGVtIGF0ZW7Dp8OjbyBhbyBEZWNyZXRvIG7CuiAyMDAvMjAyNi4qGyIVMTAyNzgzMDE5NDcwMDgyMTgxMzc5KAA4ADCvg5Hf9jM4r4OR3/YzSr8FCgp0ZXh0L3BsYWluErAFNi41LjEuIFNlIG8gbGljaXRhbnRlIGZvciBhIG1hdHJpeiwgdG9kb3Mgb3MgZG9jdW1lbnRvcyBkZXZlcsOjbyBlc3RhciBlbSBub21lIGRhIG1hdHJpeiwgZSwgc2UgbyBsaWNpdGFudGUgZm9yIGEgZmlsaWFsLCB0b2RvcyBvcyBkb2N1bWVudG9zIGRldmVyw6NvIGVzdGFyIGVtIG5vbWUgZGEgZmlsaWFsLCBleGNldG8gb3MgYXRlc3RhZG9zIGRlIGNhcGFjaWRhZGUgdMOpY25pY2EsIG9zIGRvY3VtZW50b3MgcmVsYXRpdm9zIMOgIHF1YWxpZmljYcOnw6NvIGVjb27DtG1pY28tZmluYW5jZWlyYSBlIGFxdWVsZXMgcXVlLCBwb3Igc3VhIHByw7NwcmlhIG5hdHVyZXphLCBjb21wcm92YWRhbWVudGUsIHNlamFtIGVtaXRpZG9zIHNvbWVudGUgZW0gbm9tZSBkYSBtYXRyaXouCjYuNS4yLiBOYSBoaXDDs3Rlc2UgZGUgYSBtYXRyaXogZGEgZW1wcmVzYSBlc3RhciBzaXR1YWRhIGZvcmEgZG8gdGVycml0w7NyaW8gbmFjaW9uYWwsIHRvZGEgYSBkb2N1bWVudGHDp8OjbyBkZSBoYWJpbGl0YcOnw6NvIGV4aWdpZGEgbmVzdGUgRWRpdGFsIGRldmVyw6Egc2VyIGFwcmVzZW50YWRhIGVtIG5vbWUgZGEgZmlsaWFsIGVzdGFiZWxlY2lkYSBubyBCcmFzaWwsIHF1ZSBwYXJ0aWNpcGFyw6EgZGEgbGljaXRhw6fDo28gZSBzZXLDoSByZXNwb25zw6F2ZWwgcGVsYSBleGVjdcOnw6NvIGRvIG9iamV0byBjb250cmF0dWFsLloMN3RtNG1qcWM2ZXRucgIgAHgAmgEGCAAQABgAqgE+EjxBdHVhbGl6YWRvIDE2LzA3LzIwMjYsIGVtIGF0ZW7Dp8OjbyBhbyBEZWNyZXRvIG7CuiAyMDAvMjAyNi6wAQC4AQDIAQAYr4OR3/YzIK+Dkd/2MzAAQhBraXguNmQzaXpxdmd6N2FqIocDCgtBQUFDRGR1LVJ1NBLXAgoLQUFBQ0RkdS1SdTQSC0FBQUNEZHUtUnU0GkgKCXRleHQvaHRtbBI7QXR1YWxpemFkbyBlbSAxNy8wNy8yMDI2LCBlbSBhdGVuw6fDo28gYW8gRGVjcmV0byAxOTkvMjAyNi4iSQoKdGV4dC9wbGFpbhI7QXR1YWxpemFkbyBlbSAxNy8wNy8yMDI2LCBlbSBhdGVuw6fDo28gYW8gRGVjcmV0byAxOTkvMjAyNi4qGyIVMTAyNzgzMDE5NDcwMDgyMTgxMzc5KAA4ADCh7pCG9zM4oe6QhvczSh4KCnRleHQvcGxhaW4SEDguIERBUyBTQU7Dh8OVRVNaDG5iNjNhMWljbHkwanICIAB4AJoBBggAEAAYAKoBPRI7QXR1YWxpemFkbyBlbSAxNy8wNy8yMDI2LCBlbSBhdGVuw6fDo28gYW8gRGVjcmV0byAxOTkvMjAyNi4Yoe6QhvczIKHukIb3M0IQa2l4LjMxaGtpa3k2czF0ODIOaC5mdmgzaHR3d3VnY2EyDmguMXRoMHBrMWxnaGQ3OAByITFxSTh1Z29kSmU4S2hkZ0lGbmYySzNpdnFtMFYwWm01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80</TotalTime>
  <Application>LibreOffice/26.2.5.2$Windows_X86_64 LibreOffice_project/cd7284b4cbbfeb507e630c1aac019f4157393acb</Application>
  <AppVersion>15.0000</AppVersion>
  <Pages>67</Pages>
  <Words>19269</Words>
  <Characters>111472</Characters>
  <CharactersWithSpaces>130119</CharactersWithSpaces>
  <Paragraphs>826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2023-10-20T13:06:00Z</dcterms:created>
  <dc:creator>Michele Oliveira</dc:creator>
  <dc:description/>
  <dc:language>pt-BR</dc:language>
  <cp:lastModifiedBy/>
  <dcterms:modified xsi:type="dcterms:W3CDTF">2026-08-03T15:49:53Z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